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5EBFFF53" w14:textId="087E0D9F" w:rsidR="006F21B2" w:rsidRPr="0058123E" w:rsidRDefault="006F21B2" w:rsidP="00442798">
      <w:pPr>
        <w:spacing w:after="0"/>
        <w:rPr>
          <w:rFonts w:ascii="Arial" w:hAnsi="Arial" w:cs="Arial"/>
          <w:lang w:val="fr-CH"/>
        </w:rPr>
      </w:pPr>
      <w:r w:rsidRPr="0058123E">
        <w:rPr>
          <w:rFonts w:ascii="Arial" w:hAnsi="Arial" w:cs="Arial"/>
          <w:lang w:val="fr-CH"/>
        </w:rPr>
        <w:t>Z</w:t>
      </w:r>
      <w:r w:rsidR="009C0C0B" w:rsidRPr="0058123E">
        <w:rPr>
          <w:rFonts w:ascii="Arial" w:hAnsi="Arial" w:cs="Arial"/>
          <w:lang w:val="fr-CH"/>
        </w:rPr>
        <w:t>u</w:t>
      </w:r>
      <w:r w:rsidRPr="0058123E">
        <w:rPr>
          <w:rFonts w:ascii="Arial" w:hAnsi="Arial" w:cs="Arial"/>
          <w:lang w:val="fr-CH"/>
        </w:rPr>
        <w:t xml:space="preserve">rich, </w:t>
      </w:r>
      <w:r w:rsidR="009C0C0B" w:rsidRPr="0058123E">
        <w:rPr>
          <w:rFonts w:ascii="Arial" w:hAnsi="Arial" w:cs="Arial"/>
          <w:lang w:val="fr-CH"/>
        </w:rPr>
        <w:t xml:space="preserve">le </w:t>
      </w:r>
      <w:r w:rsidR="003E6E43">
        <w:rPr>
          <w:rFonts w:ascii="Arial" w:hAnsi="Arial" w:cs="Arial"/>
          <w:lang w:val="fr-CH"/>
        </w:rPr>
        <w:t>5</w:t>
      </w:r>
      <w:r w:rsidR="00292C78" w:rsidRPr="0058123E">
        <w:rPr>
          <w:rFonts w:ascii="Arial" w:hAnsi="Arial" w:cs="Arial"/>
          <w:lang w:val="fr-CH"/>
        </w:rPr>
        <w:t xml:space="preserve"> </w:t>
      </w:r>
      <w:r w:rsidR="003E6E43">
        <w:rPr>
          <w:rFonts w:ascii="Arial" w:hAnsi="Arial" w:cs="Arial"/>
          <w:lang w:val="fr-CH"/>
        </w:rPr>
        <w:t>mars</w:t>
      </w:r>
      <w:r w:rsidR="00292C78" w:rsidRPr="0058123E">
        <w:rPr>
          <w:rFonts w:ascii="Arial" w:hAnsi="Arial" w:cs="Arial"/>
          <w:lang w:val="fr-CH"/>
        </w:rPr>
        <w:t xml:space="preserve"> 2024</w:t>
      </w:r>
    </w:p>
    <w:p w14:paraId="06B2FD2E" w14:textId="77777777" w:rsidR="006F21B2" w:rsidRPr="0058123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58123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2C72C8D6" w14:textId="77777777" w:rsidR="009C0C0B" w:rsidRPr="0058123E" w:rsidRDefault="009C0C0B" w:rsidP="009C0C0B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lang w:val="fr-CH"/>
        </w:rPr>
      </w:pPr>
      <w:r w:rsidRPr="0058123E">
        <w:rPr>
          <w:rFonts w:ascii="Arial" w:hAnsi="Arial" w:cs="Arial"/>
          <w:b/>
          <w:sz w:val="28"/>
          <w:lang w:val="fr-CH"/>
        </w:rPr>
        <w:t>Communiqué de presse</w:t>
      </w:r>
    </w:p>
    <w:p w14:paraId="468FF85C" w14:textId="77777777" w:rsidR="006F21B2" w:rsidRPr="0058123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58123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3CC9EC4B" w:rsidR="006F21B2" w:rsidRPr="0058123E" w:rsidRDefault="009C0C0B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8123E">
        <w:rPr>
          <w:rFonts w:ascii="Arial" w:hAnsi="Arial" w:cs="Arial"/>
          <w:i/>
          <w:sz w:val="20"/>
          <w:lang w:val="fr-CH"/>
        </w:rPr>
        <w:t xml:space="preserve">Volume: env. </w:t>
      </w:r>
      <w:r w:rsidR="00932729">
        <w:rPr>
          <w:rFonts w:ascii="Arial" w:hAnsi="Arial" w:cs="Arial"/>
          <w:i/>
          <w:sz w:val="20"/>
          <w:lang w:val="fr-CH"/>
        </w:rPr>
        <w:t>90</w:t>
      </w:r>
      <w:r w:rsidRPr="0058123E">
        <w:rPr>
          <w:rFonts w:ascii="Arial" w:hAnsi="Arial" w:cs="Arial"/>
          <w:i/>
          <w:sz w:val="20"/>
          <w:lang w:val="fr-CH"/>
        </w:rPr>
        <w:t>00 caractères pour le texte, y compris chapeau, sous-titres et espaces; hors titre, encadré à propos d’Energie-bois Suisse et légendes</w:t>
      </w:r>
    </w:p>
    <w:p w14:paraId="1552AE6A" w14:textId="77777777" w:rsidR="006F21B2" w:rsidRPr="0058123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58123E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76289F91" w14:textId="77777777" w:rsidR="009C0C0B" w:rsidRDefault="009C0C0B" w:rsidP="00442798">
      <w:pPr>
        <w:spacing w:after="0"/>
        <w:rPr>
          <w:rFonts w:ascii="Arial" w:hAnsi="Arial" w:cs="Arial"/>
          <w:bCs/>
          <w:lang w:val="fr-CH"/>
        </w:rPr>
      </w:pPr>
      <w:r w:rsidRPr="008B0FBA">
        <w:rPr>
          <w:rFonts w:ascii="Arial" w:hAnsi="Arial" w:cs="Arial"/>
          <w:bCs/>
          <w:lang w:val="fr-CH"/>
        </w:rPr>
        <w:t>Titres proposés:</w:t>
      </w:r>
    </w:p>
    <w:p w14:paraId="6304A8A3" w14:textId="6BD680A8" w:rsidR="00882101" w:rsidRPr="009D4102" w:rsidRDefault="0057703E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Risquons-nous un manque d</w:t>
      </w:r>
      <w:r w:rsidR="0029636D">
        <w:rPr>
          <w:rFonts w:ascii="Arial" w:hAnsi="Arial" w:cs="Arial"/>
          <w:b/>
          <w:sz w:val="28"/>
          <w:lang w:val="fr-CH"/>
        </w:rPr>
        <w:t>e</w:t>
      </w:r>
      <w:r w:rsidR="009C0C0B" w:rsidRPr="009C0C0B">
        <w:rPr>
          <w:rFonts w:ascii="Arial" w:hAnsi="Arial" w:cs="Arial"/>
          <w:b/>
          <w:sz w:val="28"/>
          <w:lang w:val="fr-CH"/>
        </w:rPr>
        <w:t xml:space="preserve"> bois</w:t>
      </w:r>
      <w:r w:rsidR="009C0C0B">
        <w:rPr>
          <w:rFonts w:ascii="Arial" w:hAnsi="Arial" w:cs="Arial"/>
          <w:b/>
          <w:sz w:val="28"/>
          <w:lang w:val="fr-CH"/>
        </w:rPr>
        <w:t>-énergie?</w:t>
      </w:r>
      <w:r w:rsidR="0027620A" w:rsidRPr="009C0C0B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U</w:t>
      </w:r>
      <w:r w:rsidR="009D4102">
        <w:rPr>
          <w:rFonts w:ascii="Arial" w:hAnsi="Arial" w:cs="Arial"/>
          <w:b/>
          <w:sz w:val="28"/>
          <w:lang w:val="fr-CH"/>
        </w:rPr>
        <w:t>n m</w:t>
      </w:r>
      <w:r w:rsidR="0027620A" w:rsidRPr="009D4102">
        <w:rPr>
          <w:rFonts w:ascii="Arial" w:hAnsi="Arial" w:cs="Arial"/>
          <w:b/>
          <w:sz w:val="28"/>
          <w:lang w:val="fr-CH"/>
        </w:rPr>
        <w:t xml:space="preserve">onitoring </w:t>
      </w:r>
      <w:r w:rsidR="004D047B">
        <w:rPr>
          <w:rFonts w:ascii="Arial" w:hAnsi="Arial" w:cs="Arial"/>
          <w:b/>
          <w:sz w:val="28"/>
          <w:lang w:val="fr-CH"/>
        </w:rPr>
        <w:t>fournit des réponses</w:t>
      </w:r>
    </w:p>
    <w:p w14:paraId="7B3E5292" w14:textId="151A78A5" w:rsidR="000142AF" w:rsidRPr="009C0C0B" w:rsidRDefault="0029636D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Utiliser à bon escient</w:t>
      </w:r>
      <w:r w:rsidRPr="009C0C0B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>le</w:t>
      </w:r>
      <w:r w:rsidR="009C0C0B" w:rsidRPr="009C0C0B">
        <w:rPr>
          <w:rFonts w:ascii="Arial" w:hAnsi="Arial" w:cs="Arial"/>
          <w:b/>
          <w:sz w:val="28"/>
          <w:lang w:val="fr-CH"/>
        </w:rPr>
        <w:t xml:space="preserve"> bois-énergie</w:t>
      </w:r>
      <w:r w:rsidR="009C0C0B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 xml:space="preserve">limité </w:t>
      </w:r>
    </w:p>
    <w:p w14:paraId="36C6E9C3" w14:textId="24094D72" w:rsidR="00E63A03" w:rsidRPr="009D4102" w:rsidRDefault="0029636D" w:rsidP="00442798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>B</w:t>
      </w:r>
      <w:r w:rsidR="009D4102" w:rsidRPr="009D4102">
        <w:rPr>
          <w:rFonts w:ascii="Arial" w:hAnsi="Arial" w:cs="Arial"/>
          <w:b/>
          <w:sz w:val="28"/>
          <w:lang w:val="fr-CH"/>
        </w:rPr>
        <w:t>ois-énergie</w:t>
      </w:r>
      <w:r>
        <w:rPr>
          <w:rFonts w:ascii="Arial" w:hAnsi="Arial" w:cs="Arial"/>
          <w:b/>
          <w:sz w:val="28"/>
          <w:lang w:val="fr-CH"/>
        </w:rPr>
        <w:t>:</w:t>
      </w:r>
      <w:r w:rsidR="009D4102" w:rsidRPr="009D4102">
        <w:rPr>
          <w:rFonts w:ascii="Arial" w:hAnsi="Arial" w:cs="Arial"/>
          <w:b/>
          <w:sz w:val="28"/>
          <w:lang w:val="fr-CH"/>
        </w:rPr>
        <w:t xml:space="preserve"> </w:t>
      </w:r>
      <w:r>
        <w:rPr>
          <w:rFonts w:ascii="Arial" w:hAnsi="Arial" w:cs="Arial"/>
          <w:b/>
          <w:sz w:val="28"/>
          <w:lang w:val="fr-CH"/>
        </w:rPr>
        <w:t xml:space="preserve">utilisation élevée, mais disponibilité </w:t>
      </w:r>
      <w:r w:rsidR="009D4102" w:rsidRPr="009D4102">
        <w:rPr>
          <w:rFonts w:ascii="Arial" w:hAnsi="Arial" w:cs="Arial"/>
          <w:b/>
          <w:sz w:val="28"/>
          <w:lang w:val="fr-CH"/>
        </w:rPr>
        <w:t>assuré</w:t>
      </w:r>
      <w:r>
        <w:rPr>
          <w:rFonts w:ascii="Arial" w:hAnsi="Arial" w:cs="Arial"/>
          <w:b/>
          <w:sz w:val="28"/>
          <w:lang w:val="fr-CH"/>
        </w:rPr>
        <w:t>e</w:t>
      </w:r>
      <w:r w:rsidR="009D4102" w:rsidRPr="009D4102">
        <w:rPr>
          <w:rFonts w:ascii="Arial" w:hAnsi="Arial" w:cs="Arial"/>
          <w:b/>
          <w:sz w:val="28"/>
          <w:lang w:val="fr-CH"/>
        </w:rPr>
        <w:t xml:space="preserve"> </w:t>
      </w:r>
    </w:p>
    <w:p w14:paraId="33492129" w14:textId="77777777" w:rsidR="0027620A" w:rsidRPr="009D4102" w:rsidRDefault="0027620A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153D1C9D" w14:textId="6FAC90A0" w:rsidR="00EC0C6F" w:rsidRPr="009D4102" w:rsidRDefault="009D4102" w:rsidP="00FB7C48">
      <w:pPr>
        <w:spacing w:after="0"/>
        <w:rPr>
          <w:rFonts w:ascii="Arial" w:hAnsi="Arial" w:cs="Arial"/>
          <w:bCs/>
          <w:lang w:val="fr-CH"/>
        </w:rPr>
      </w:pPr>
      <w:r w:rsidRPr="009D4102">
        <w:rPr>
          <w:rFonts w:ascii="Arial" w:hAnsi="Arial" w:cs="Arial"/>
          <w:b/>
          <w:lang w:val="fr-CH"/>
        </w:rPr>
        <w:t xml:space="preserve">Le bois est une matière </w:t>
      </w:r>
      <w:r w:rsidR="0029636D">
        <w:rPr>
          <w:rFonts w:ascii="Arial" w:hAnsi="Arial" w:cs="Arial"/>
          <w:b/>
          <w:lang w:val="fr-CH"/>
        </w:rPr>
        <w:t xml:space="preserve">première </w:t>
      </w:r>
      <w:r w:rsidRPr="009D4102">
        <w:rPr>
          <w:rFonts w:ascii="Arial" w:hAnsi="Arial" w:cs="Arial"/>
          <w:b/>
          <w:lang w:val="fr-CH"/>
        </w:rPr>
        <w:t>précieuse.</w:t>
      </w:r>
      <w:r>
        <w:rPr>
          <w:rFonts w:ascii="Arial" w:hAnsi="Arial" w:cs="Arial"/>
          <w:b/>
          <w:lang w:val="fr-CH"/>
        </w:rPr>
        <w:t xml:space="preserve"> </w:t>
      </w:r>
      <w:r w:rsidR="0029636D">
        <w:rPr>
          <w:rFonts w:ascii="Arial" w:hAnsi="Arial" w:cs="Arial"/>
          <w:b/>
          <w:lang w:val="fr-CH"/>
        </w:rPr>
        <w:t>Ressource i</w:t>
      </w:r>
      <w:r>
        <w:rPr>
          <w:rFonts w:ascii="Arial" w:hAnsi="Arial" w:cs="Arial"/>
          <w:b/>
          <w:lang w:val="fr-CH"/>
        </w:rPr>
        <w:t>ndigène</w:t>
      </w:r>
      <w:r w:rsidR="0029636D">
        <w:rPr>
          <w:rFonts w:ascii="Arial" w:hAnsi="Arial" w:cs="Arial"/>
          <w:b/>
          <w:lang w:val="fr-CH"/>
        </w:rPr>
        <w:t xml:space="preserve"> qui</w:t>
      </w:r>
      <w:r>
        <w:rPr>
          <w:rFonts w:ascii="Arial" w:hAnsi="Arial" w:cs="Arial"/>
          <w:b/>
          <w:lang w:val="fr-CH"/>
        </w:rPr>
        <w:t xml:space="preserve"> </w:t>
      </w:r>
      <w:r w:rsidR="0029636D">
        <w:rPr>
          <w:rFonts w:ascii="Arial" w:hAnsi="Arial" w:cs="Arial"/>
          <w:b/>
          <w:lang w:val="fr-CH"/>
        </w:rPr>
        <w:t>repousse</w:t>
      </w:r>
      <w:r>
        <w:rPr>
          <w:rFonts w:ascii="Arial" w:hAnsi="Arial" w:cs="Arial"/>
          <w:b/>
          <w:lang w:val="fr-CH"/>
        </w:rPr>
        <w:t xml:space="preserve"> dans nos forêts</w:t>
      </w:r>
      <w:r w:rsidR="0029636D">
        <w:rPr>
          <w:rFonts w:ascii="Arial" w:hAnsi="Arial" w:cs="Arial"/>
          <w:b/>
          <w:lang w:val="fr-CH"/>
        </w:rPr>
        <w:t>, i</w:t>
      </w:r>
      <w:r>
        <w:rPr>
          <w:rFonts w:ascii="Arial" w:hAnsi="Arial" w:cs="Arial"/>
          <w:b/>
          <w:lang w:val="fr-CH"/>
        </w:rPr>
        <w:t xml:space="preserve">l </w:t>
      </w:r>
      <w:r w:rsidR="0029636D">
        <w:rPr>
          <w:rFonts w:ascii="Arial" w:hAnsi="Arial" w:cs="Arial"/>
          <w:b/>
          <w:lang w:val="fr-CH"/>
        </w:rPr>
        <w:t>nous permet de</w:t>
      </w:r>
      <w:r>
        <w:rPr>
          <w:rFonts w:ascii="Arial" w:hAnsi="Arial" w:cs="Arial"/>
          <w:b/>
          <w:lang w:val="fr-CH"/>
        </w:rPr>
        <w:t xml:space="preserve"> lutter contre le réchauffement climatique en remplaçant le béton, l’acier, le gaz ou le mazout.</w:t>
      </w:r>
      <w:r w:rsidR="00B623C4" w:rsidRPr="009D4102">
        <w:rPr>
          <w:rFonts w:ascii="Arial" w:hAnsi="Arial" w:cs="Arial"/>
          <w:b/>
          <w:lang w:val="fr-CH"/>
        </w:rPr>
        <w:t xml:space="preserve"> </w:t>
      </w:r>
      <w:r w:rsidRPr="009D4102">
        <w:rPr>
          <w:rFonts w:ascii="Arial" w:hAnsi="Arial" w:cs="Arial"/>
          <w:b/>
          <w:lang w:val="fr-CH"/>
        </w:rPr>
        <w:t xml:space="preserve">La forte demande </w:t>
      </w:r>
      <w:r>
        <w:rPr>
          <w:rFonts w:ascii="Arial" w:hAnsi="Arial" w:cs="Arial"/>
          <w:b/>
          <w:lang w:val="fr-CH"/>
        </w:rPr>
        <w:t>pour</w:t>
      </w:r>
      <w:r w:rsidRPr="009D4102">
        <w:rPr>
          <w:rFonts w:ascii="Arial" w:hAnsi="Arial" w:cs="Arial"/>
          <w:b/>
          <w:lang w:val="fr-CH"/>
        </w:rPr>
        <w:t xml:space="preserve"> </w:t>
      </w:r>
      <w:r>
        <w:rPr>
          <w:rFonts w:ascii="Arial" w:hAnsi="Arial" w:cs="Arial"/>
          <w:b/>
          <w:lang w:val="fr-CH"/>
        </w:rPr>
        <w:t>le</w:t>
      </w:r>
      <w:r w:rsidRPr="009D4102">
        <w:rPr>
          <w:rFonts w:ascii="Arial" w:hAnsi="Arial" w:cs="Arial"/>
          <w:b/>
          <w:lang w:val="fr-CH"/>
        </w:rPr>
        <w:t xml:space="preserve"> bois n’</w:t>
      </w:r>
      <w:r w:rsidR="0029636D">
        <w:rPr>
          <w:rFonts w:ascii="Arial" w:hAnsi="Arial" w:cs="Arial"/>
          <w:b/>
          <w:lang w:val="fr-CH"/>
        </w:rPr>
        <w:t xml:space="preserve">a </w:t>
      </w:r>
      <w:r w:rsidRPr="009D4102">
        <w:rPr>
          <w:rFonts w:ascii="Arial" w:hAnsi="Arial" w:cs="Arial"/>
          <w:b/>
          <w:lang w:val="fr-CH"/>
        </w:rPr>
        <w:t xml:space="preserve">donc </w:t>
      </w:r>
      <w:r w:rsidR="0029636D">
        <w:rPr>
          <w:rFonts w:ascii="Arial" w:hAnsi="Arial" w:cs="Arial"/>
          <w:b/>
          <w:lang w:val="fr-CH"/>
        </w:rPr>
        <w:t>rien d’étonnant</w:t>
      </w:r>
      <w:r w:rsidRPr="009D4102">
        <w:rPr>
          <w:rFonts w:ascii="Arial" w:hAnsi="Arial" w:cs="Arial"/>
          <w:b/>
          <w:lang w:val="fr-CH"/>
        </w:rPr>
        <w:t xml:space="preserve">. </w:t>
      </w:r>
      <w:r w:rsidR="0029636D">
        <w:rPr>
          <w:rFonts w:ascii="Arial" w:hAnsi="Arial" w:cs="Arial"/>
          <w:b/>
          <w:lang w:val="fr-CH"/>
        </w:rPr>
        <w:t>L</w:t>
      </w:r>
      <w:r w:rsidRPr="009D4102">
        <w:rPr>
          <w:rFonts w:ascii="Arial" w:hAnsi="Arial" w:cs="Arial"/>
          <w:b/>
          <w:lang w:val="fr-CH"/>
        </w:rPr>
        <w:t>a Suisse encourage l’utilisation du bois-énergie</w:t>
      </w:r>
      <w:r w:rsidR="0029636D" w:rsidRPr="0029636D">
        <w:rPr>
          <w:rFonts w:ascii="Arial" w:hAnsi="Arial" w:cs="Arial"/>
          <w:b/>
          <w:lang w:val="fr-CH"/>
        </w:rPr>
        <w:t xml:space="preserve"> </w:t>
      </w:r>
      <w:r w:rsidR="0029636D">
        <w:rPr>
          <w:rFonts w:ascii="Arial" w:hAnsi="Arial" w:cs="Arial"/>
          <w:b/>
          <w:lang w:val="fr-CH"/>
        </w:rPr>
        <w:t>d</w:t>
      </w:r>
      <w:r w:rsidR="0029636D" w:rsidRPr="009D4102">
        <w:rPr>
          <w:rFonts w:ascii="Arial" w:hAnsi="Arial" w:cs="Arial"/>
          <w:b/>
          <w:lang w:val="fr-CH"/>
        </w:rPr>
        <w:t>epuis plus de 40 ans</w:t>
      </w:r>
      <w:r w:rsidR="0029636D">
        <w:rPr>
          <w:rFonts w:ascii="Arial" w:hAnsi="Arial" w:cs="Arial"/>
          <w:b/>
          <w:lang w:val="fr-CH"/>
        </w:rPr>
        <w:t>,</w:t>
      </w:r>
      <w:r w:rsidRPr="009D4102">
        <w:rPr>
          <w:rFonts w:ascii="Arial" w:hAnsi="Arial" w:cs="Arial"/>
          <w:b/>
          <w:lang w:val="fr-CH"/>
        </w:rPr>
        <w:t xml:space="preserve"> </w:t>
      </w:r>
      <w:r w:rsidR="0029636D">
        <w:rPr>
          <w:rFonts w:ascii="Arial" w:hAnsi="Arial" w:cs="Arial"/>
          <w:b/>
          <w:lang w:val="fr-CH"/>
        </w:rPr>
        <w:t>et avec un tel succès</w:t>
      </w:r>
      <w:r w:rsidRPr="009D4102">
        <w:rPr>
          <w:rFonts w:ascii="Arial" w:hAnsi="Arial" w:cs="Arial"/>
          <w:b/>
          <w:lang w:val="fr-CH"/>
        </w:rPr>
        <w:t xml:space="preserve"> que </w:t>
      </w:r>
      <w:r w:rsidR="0029636D">
        <w:rPr>
          <w:rFonts w:ascii="Arial" w:hAnsi="Arial" w:cs="Arial"/>
          <w:b/>
          <w:lang w:val="fr-CH"/>
        </w:rPr>
        <w:t>l</w:t>
      </w:r>
      <w:r w:rsidRPr="009D4102">
        <w:rPr>
          <w:rFonts w:ascii="Arial" w:hAnsi="Arial" w:cs="Arial"/>
          <w:b/>
          <w:lang w:val="fr-CH"/>
        </w:rPr>
        <w:t>es limites du potentiel</w:t>
      </w:r>
      <w:r w:rsidR="00EB21FF">
        <w:rPr>
          <w:rFonts w:ascii="Arial" w:hAnsi="Arial" w:cs="Arial"/>
          <w:b/>
          <w:lang w:val="fr-CH"/>
        </w:rPr>
        <w:t xml:space="preserve"> se rapprochent</w:t>
      </w:r>
      <w:r>
        <w:rPr>
          <w:rFonts w:ascii="Arial" w:hAnsi="Arial" w:cs="Arial"/>
          <w:b/>
          <w:lang w:val="fr-CH"/>
        </w:rPr>
        <w:t>.</w:t>
      </w:r>
      <w:r w:rsidR="0015233D" w:rsidRPr="009D4102">
        <w:rPr>
          <w:rFonts w:ascii="Arial" w:hAnsi="Arial" w:cs="Arial"/>
          <w:b/>
          <w:lang w:val="fr-CH"/>
        </w:rPr>
        <w:t xml:space="preserve"> </w:t>
      </w:r>
    </w:p>
    <w:p w14:paraId="078C55C1" w14:textId="77777777" w:rsidR="00EC0C6F" w:rsidRPr="009D4102" w:rsidRDefault="00EC0C6F" w:rsidP="00FB7C48">
      <w:pPr>
        <w:spacing w:after="0"/>
        <w:rPr>
          <w:rFonts w:ascii="Arial" w:hAnsi="Arial" w:cs="Arial"/>
          <w:bCs/>
          <w:lang w:val="fr-CH"/>
        </w:rPr>
      </w:pPr>
    </w:p>
    <w:p w14:paraId="78FB0BDF" w14:textId="653D2A3C" w:rsidR="001030E2" w:rsidRPr="004255FE" w:rsidRDefault="006E7549" w:rsidP="00FB7C48">
      <w:pPr>
        <w:spacing w:after="0"/>
        <w:rPr>
          <w:rFonts w:ascii="Arial" w:hAnsi="Arial" w:cs="Arial"/>
          <w:bCs/>
          <w:lang w:val="fr-CH"/>
        </w:rPr>
      </w:pPr>
      <w:r w:rsidRPr="006E7549">
        <w:rPr>
          <w:rFonts w:ascii="Arial" w:hAnsi="Arial" w:cs="Arial"/>
          <w:bCs/>
          <w:lang w:val="fr-CH"/>
        </w:rPr>
        <w:t xml:space="preserve">Jusqu’en </w:t>
      </w:r>
      <w:r w:rsidR="001030E2" w:rsidRPr="006E7549">
        <w:rPr>
          <w:rFonts w:ascii="Arial" w:hAnsi="Arial" w:cs="Arial"/>
          <w:bCs/>
          <w:lang w:val="fr-CH"/>
        </w:rPr>
        <w:t>2021</w:t>
      </w:r>
      <w:r w:rsidR="004D047B" w:rsidRPr="004D047B">
        <w:rPr>
          <w:rFonts w:ascii="Arial" w:hAnsi="Arial" w:cs="Arial"/>
          <w:bCs/>
          <w:lang w:val="fr-CH"/>
        </w:rPr>
        <w:t xml:space="preserve"> </w:t>
      </w:r>
      <w:r w:rsidR="004D047B">
        <w:rPr>
          <w:rFonts w:ascii="Arial" w:hAnsi="Arial" w:cs="Arial"/>
          <w:bCs/>
          <w:lang w:val="fr-CH"/>
        </w:rPr>
        <w:t>et pendant des décennies</w:t>
      </w:r>
      <w:r w:rsidRPr="006E7549">
        <w:rPr>
          <w:rFonts w:ascii="Arial" w:hAnsi="Arial" w:cs="Arial"/>
          <w:bCs/>
          <w:lang w:val="fr-CH"/>
        </w:rPr>
        <w:t xml:space="preserve">, l’approvisionnement en bois-énergie était un marché </w:t>
      </w:r>
      <w:r w:rsidR="00EB21FF">
        <w:rPr>
          <w:rFonts w:ascii="Arial" w:hAnsi="Arial" w:cs="Arial"/>
          <w:bCs/>
          <w:lang w:val="fr-CH"/>
        </w:rPr>
        <w:t>dominé par</w:t>
      </w:r>
      <w:r w:rsidRPr="006E7549">
        <w:rPr>
          <w:rFonts w:ascii="Arial" w:hAnsi="Arial" w:cs="Arial"/>
          <w:bCs/>
          <w:lang w:val="fr-CH"/>
        </w:rPr>
        <w:t xml:space="preserve"> la</w:t>
      </w:r>
      <w:r>
        <w:rPr>
          <w:rFonts w:ascii="Arial" w:hAnsi="Arial" w:cs="Arial"/>
          <w:bCs/>
          <w:lang w:val="fr-CH"/>
        </w:rPr>
        <w:t xml:space="preserve"> demande</w:t>
      </w:r>
      <w:r w:rsidR="004D047B">
        <w:rPr>
          <w:rFonts w:ascii="Arial" w:hAnsi="Arial" w:cs="Arial"/>
          <w:bCs/>
          <w:lang w:val="fr-CH"/>
        </w:rPr>
        <w:t xml:space="preserve"> et un faible niveau</w:t>
      </w:r>
      <w:r>
        <w:rPr>
          <w:rFonts w:ascii="Arial" w:hAnsi="Arial" w:cs="Arial"/>
          <w:bCs/>
          <w:lang w:val="fr-CH"/>
        </w:rPr>
        <w:t xml:space="preserve"> des prix.</w:t>
      </w:r>
      <w:r w:rsidR="000F1E99" w:rsidRPr="006E7549">
        <w:rPr>
          <w:rFonts w:ascii="Arial" w:hAnsi="Arial" w:cs="Arial"/>
          <w:bCs/>
          <w:lang w:val="fr-CH"/>
        </w:rPr>
        <w:t xml:space="preserve"> </w:t>
      </w:r>
      <w:r w:rsidR="004D047B">
        <w:rPr>
          <w:rFonts w:ascii="Arial" w:hAnsi="Arial" w:cs="Arial"/>
          <w:bCs/>
          <w:lang w:val="fr-CH"/>
        </w:rPr>
        <w:t>Mais soudain,</w:t>
      </w:r>
      <w:r w:rsidRPr="006E7549">
        <w:rPr>
          <w:rFonts w:ascii="Arial" w:hAnsi="Arial" w:cs="Arial"/>
          <w:bCs/>
          <w:lang w:val="fr-CH"/>
        </w:rPr>
        <w:t xml:space="preserve"> le vent a tourné: le bois-énergie </w:t>
      </w:r>
      <w:r w:rsidR="004D047B">
        <w:rPr>
          <w:rFonts w:ascii="Arial" w:hAnsi="Arial" w:cs="Arial"/>
          <w:bCs/>
          <w:lang w:val="fr-CH"/>
        </w:rPr>
        <w:t>est devenu intéressant</w:t>
      </w:r>
      <w:r w:rsidR="008024C8" w:rsidRPr="006E7549">
        <w:rPr>
          <w:rFonts w:ascii="Arial" w:hAnsi="Arial" w:cs="Arial"/>
          <w:bCs/>
          <w:lang w:val="fr-CH"/>
        </w:rPr>
        <w:t xml:space="preserve">. </w:t>
      </w:r>
      <w:r w:rsidRPr="006E7549">
        <w:rPr>
          <w:rFonts w:ascii="Arial" w:hAnsi="Arial" w:cs="Arial"/>
          <w:bCs/>
          <w:lang w:val="fr-CH"/>
        </w:rPr>
        <w:t xml:space="preserve">Un marché </w:t>
      </w:r>
      <w:r w:rsidR="004D047B">
        <w:rPr>
          <w:rFonts w:ascii="Arial" w:hAnsi="Arial" w:cs="Arial"/>
          <w:bCs/>
          <w:lang w:val="fr-CH"/>
        </w:rPr>
        <w:t>dominé par</w:t>
      </w:r>
      <w:r w:rsidRPr="006E7549">
        <w:rPr>
          <w:rFonts w:ascii="Arial" w:hAnsi="Arial" w:cs="Arial"/>
          <w:bCs/>
          <w:lang w:val="fr-CH"/>
        </w:rPr>
        <w:t xml:space="preserve"> l’offre a pris l</w:t>
      </w:r>
      <w:r w:rsidR="004D047B">
        <w:rPr>
          <w:rFonts w:ascii="Arial" w:hAnsi="Arial" w:cs="Arial"/>
          <w:bCs/>
          <w:lang w:val="fr-CH"/>
        </w:rPr>
        <w:t>a</w:t>
      </w:r>
      <w:r w:rsidRPr="006E7549">
        <w:rPr>
          <w:rFonts w:ascii="Arial" w:hAnsi="Arial" w:cs="Arial"/>
          <w:bCs/>
          <w:lang w:val="fr-CH"/>
        </w:rPr>
        <w:t xml:space="preserve"> </w:t>
      </w:r>
      <w:r w:rsidR="004D047B">
        <w:rPr>
          <w:rFonts w:ascii="Arial" w:hAnsi="Arial" w:cs="Arial"/>
          <w:bCs/>
          <w:lang w:val="fr-CH"/>
        </w:rPr>
        <w:t>relève</w:t>
      </w:r>
      <w:r w:rsidRPr="006E7549">
        <w:rPr>
          <w:rFonts w:ascii="Arial" w:hAnsi="Arial" w:cs="Arial"/>
          <w:bCs/>
          <w:lang w:val="fr-CH"/>
        </w:rPr>
        <w:t xml:space="preserve">, </w:t>
      </w:r>
      <w:r w:rsidR="004D047B">
        <w:rPr>
          <w:rFonts w:ascii="Arial" w:hAnsi="Arial" w:cs="Arial"/>
          <w:bCs/>
          <w:lang w:val="fr-CH"/>
        </w:rPr>
        <w:t>y compris d</w:t>
      </w:r>
      <w:r w:rsidRPr="006E7549">
        <w:rPr>
          <w:rFonts w:ascii="Arial" w:hAnsi="Arial" w:cs="Arial"/>
          <w:bCs/>
          <w:lang w:val="fr-CH"/>
        </w:rPr>
        <w:t xml:space="preserve">es prix </w:t>
      </w:r>
      <w:r w:rsidR="004D047B">
        <w:rPr>
          <w:rFonts w:ascii="Arial" w:hAnsi="Arial" w:cs="Arial"/>
          <w:bCs/>
          <w:lang w:val="fr-CH"/>
        </w:rPr>
        <w:t>en hausse</w:t>
      </w:r>
      <w:r>
        <w:rPr>
          <w:rFonts w:ascii="Arial" w:hAnsi="Arial" w:cs="Arial"/>
          <w:bCs/>
          <w:lang w:val="fr-CH"/>
        </w:rPr>
        <w:t>.</w:t>
      </w:r>
      <w:r w:rsidR="00980D97" w:rsidRPr="006E7549">
        <w:rPr>
          <w:rFonts w:ascii="Arial" w:hAnsi="Arial" w:cs="Arial"/>
          <w:bCs/>
          <w:lang w:val="fr-CH"/>
        </w:rPr>
        <w:t xml:space="preserve"> </w:t>
      </w:r>
      <w:r w:rsidRPr="006E7549">
        <w:rPr>
          <w:rFonts w:ascii="Arial" w:hAnsi="Arial" w:cs="Arial"/>
          <w:bCs/>
          <w:lang w:val="fr-CH"/>
        </w:rPr>
        <w:t xml:space="preserve">Ce changement fondamental est </w:t>
      </w:r>
      <w:r w:rsidR="004D047B">
        <w:rPr>
          <w:rFonts w:ascii="Arial" w:hAnsi="Arial" w:cs="Arial"/>
          <w:bCs/>
          <w:lang w:val="fr-CH"/>
        </w:rPr>
        <w:t>attribuable aux</w:t>
      </w:r>
      <w:r w:rsidRPr="006E7549">
        <w:rPr>
          <w:rFonts w:ascii="Arial" w:hAnsi="Arial" w:cs="Arial"/>
          <w:bCs/>
          <w:lang w:val="fr-CH"/>
        </w:rPr>
        <w:t xml:space="preserve"> programmes de soutien intéressants, </w:t>
      </w:r>
      <w:r w:rsidR="004D047B">
        <w:rPr>
          <w:rFonts w:ascii="Arial" w:hAnsi="Arial" w:cs="Arial"/>
          <w:bCs/>
          <w:lang w:val="fr-CH"/>
        </w:rPr>
        <w:t>à</w:t>
      </w:r>
      <w:r w:rsidRPr="006E7549">
        <w:rPr>
          <w:rFonts w:ascii="Arial" w:hAnsi="Arial" w:cs="Arial"/>
          <w:bCs/>
          <w:lang w:val="fr-CH"/>
        </w:rPr>
        <w:t xml:space="preserve"> la pandémie, </w:t>
      </w:r>
      <w:r w:rsidR="004D047B">
        <w:rPr>
          <w:rFonts w:ascii="Arial" w:hAnsi="Arial" w:cs="Arial"/>
          <w:bCs/>
          <w:lang w:val="fr-CH"/>
        </w:rPr>
        <w:t>à</w:t>
      </w:r>
      <w:r w:rsidRPr="006E7549">
        <w:rPr>
          <w:rFonts w:ascii="Arial" w:hAnsi="Arial" w:cs="Arial"/>
          <w:bCs/>
          <w:lang w:val="fr-CH"/>
        </w:rPr>
        <w:t xml:space="preserve"> la</w:t>
      </w:r>
      <w:r>
        <w:rPr>
          <w:rFonts w:ascii="Arial" w:hAnsi="Arial" w:cs="Arial"/>
          <w:bCs/>
          <w:lang w:val="fr-CH"/>
        </w:rPr>
        <w:t xml:space="preserve"> guerre en Ukraine, </w:t>
      </w:r>
      <w:r w:rsidR="004D047B">
        <w:rPr>
          <w:rFonts w:ascii="Arial" w:hAnsi="Arial" w:cs="Arial"/>
          <w:bCs/>
          <w:lang w:val="fr-CH"/>
        </w:rPr>
        <w:t>a</w:t>
      </w:r>
      <w:r>
        <w:rPr>
          <w:rFonts w:ascii="Arial" w:hAnsi="Arial" w:cs="Arial"/>
          <w:bCs/>
          <w:lang w:val="fr-CH"/>
        </w:rPr>
        <w:t xml:space="preserve">u changement climatique omniprésent et </w:t>
      </w:r>
      <w:r w:rsidR="004D047B">
        <w:rPr>
          <w:rFonts w:ascii="Arial" w:hAnsi="Arial" w:cs="Arial"/>
          <w:bCs/>
          <w:lang w:val="fr-CH"/>
        </w:rPr>
        <w:t>à l’envolée des</w:t>
      </w:r>
      <w:r>
        <w:rPr>
          <w:rFonts w:ascii="Arial" w:hAnsi="Arial" w:cs="Arial"/>
          <w:bCs/>
          <w:lang w:val="fr-CH"/>
        </w:rPr>
        <w:t xml:space="preserve"> prix du mazout, du gaz et de l’électricité. </w:t>
      </w:r>
      <w:r w:rsidRPr="006E7549">
        <w:rPr>
          <w:rFonts w:ascii="Arial" w:hAnsi="Arial" w:cs="Arial"/>
          <w:bCs/>
          <w:lang w:val="fr-CH"/>
        </w:rPr>
        <w:t>Pendant l’hiver 2022/23, la situation s</w:t>
      </w:r>
      <w:r>
        <w:rPr>
          <w:rFonts w:ascii="Arial" w:hAnsi="Arial" w:cs="Arial"/>
          <w:bCs/>
          <w:lang w:val="fr-CH"/>
        </w:rPr>
        <w:t>’</w:t>
      </w:r>
      <w:r w:rsidRPr="006E7549">
        <w:rPr>
          <w:rFonts w:ascii="Arial" w:hAnsi="Arial" w:cs="Arial"/>
          <w:bCs/>
          <w:lang w:val="fr-CH"/>
        </w:rPr>
        <w:t xml:space="preserve">est aggravée </w:t>
      </w:r>
      <w:r w:rsidR="004D047B">
        <w:rPr>
          <w:rFonts w:ascii="Arial" w:hAnsi="Arial" w:cs="Arial"/>
          <w:bCs/>
          <w:lang w:val="fr-CH"/>
        </w:rPr>
        <w:t>au point où</w:t>
      </w:r>
      <w:r w:rsidRPr="006E7549">
        <w:rPr>
          <w:rFonts w:ascii="Arial" w:hAnsi="Arial" w:cs="Arial"/>
          <w:bCs/>
          <w:lang w:val="fr-CH"/>
        </w:rPr>
        <w:t xml:space="preserve"> </w:t>
      </w:r>
      <w:r w:rsidRPr="009A6C53">
        <w:rPr>
          <w:rFonts w:ascii="Arial" w:hAnsi="Arial" w:cs="Arial"/>
          <w:bCs/>
          <w:lang w:val="fr-CH"/>
        </w:rPr>
        <w:t>l’</w:t>
      </w:r>
      <w:r w:rsidR="004D047B">
        <w:rPr>
          <w:rFonts w:ascii="Arial" w:hAnsi="Arial" w:cs="Arial"/>
          <w:bCs/>
          <w:lang w:val="fr-CH"/>
        </w:rPr>
        <w:t>A</w:t>
      </w:r>
      <w:r w:rsidRPr="009A6C53">
        <w:rPr>
          <w:rFonts w:ascii="Arial" w:hAnsi="Arial" w:cs="Arial"/>
          <w:bCs/>
          <w:lang w:val="fr-CH"/>
        </w:rPr>
        <w:t>pprovisionnement économique du pays</w:t>
      </w:r>
      <w:r w:rsidR="00980D97" w:rsidRPr="006E7549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a dû se pencher sur la thématique. </w:t>
      </w:r>
      <w:r w:rsidR="004D047B">
        <w:rPr>
          <w:rFonts w:ascii="Arial" w:hAnsi="Arial" w:cs="Arial"/>
          <w:bCs/>
          <w:lang w:val="fr-CH"/>
        </w:rPr>
        <w:t>L</w:t>
      </w:r>
      <w:r w:rsidRPr="006E7549">
        <w:rPr>
          <w:rFonts w:ascii="Arial" w:hAnsi="Arial" w:cs="Arial"/>
          <w:bCs/>
          <w:lang w:val="fr-CH"/>
        </w:rPr>
        <w:t xml:space="preserve">e secteur est </w:t>
      </w:r>
      <w:r w:rsidR="004D047B">
        <w:rPr>
          <w:rFonts w:ascii="Arial" w:hAnsi="Arial" w:cs="Arial"/>
          <w:bCs/>
          <w:lang w:val="fr-CH"/>
        </w:rPr>
        <w:t>néanmoins</w:t>
      </w:r>
      <w:r w:rsidRPr="006E7549">
        <w:rPr>
          <w:rFonts w:ascii="Arial" w:hAnsi="Arial" w:cs="Arial"/>
          <w:bCs/>
          <w:lang w:val="fr-CH"/>
        </w:rPr>
        <w:t xml:space="preserve"> parvenu à assurer </w:t>
      </w:r>
      <w:r w:rsidR="004D047B">
        <w:rPr>
          <w:rFonts w:ascii="Arial" w:hAnsi="Arial" w:cs="Arial"/>
          <w:bCs/>
          <w:lang w:val="fr-CH"/>
        </w:rPr>
        <w:t xml:space="preserve">un </w:t>
      </w:r>
      <w:r w:rsidRPr="006E7549">
        <w:rPr>
          <w:rFonts w:ascii="Arial" w:hAnsi="Arial" w:cs="Arial"/>
          <w:bCs/>
          <w:lang w:val="fr-CH"/>
        </w:rPr>
        <w:t xml:space="preserve">approvisionnement </w:t>
      </w:r>
      <w:r w:rsidR="004D047B">
        <w:rPr>
          <w:rFonts w:ascii="Arial" w:hAnsi="Arial" w:cs="Arial"/>
          <w:bCs/>
          <w:lang w:val="fr-CH"/>
        </w:rPr>
        <w:t>cohérent</w:t>
      </w:r>
      <w:r w:rsidRPr="006E7549">
        <w:rPr>
          <w:rFonts w:ascii="Arial" w:hAnsi="Arial" w:cs="Arial"/>
          <w:bCs/>
          <w:lang w:val="fr-CH"/>
        </w:rPr>
        <w:t xml:space="preserve"> </w:t>
      </w:r>
      <w:r w:rsidR="004D047B">
        <w:rPr>
          <w:rFonts w:ascii="Arial" w:hAnsi="Arial" w:cs="Arial"/>
          <w:bCs/>
          <w:lang w:val="fr-CH"/>
        </w:rPr>
        <w:t>pour</w:t>
      </w:r>
      <w:r w:rsidRPr="006E7549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tous les assortiments de bois-énergie. </w:t>
      </w:r>
      <w:r w:rsidRPr="006E7549">
        <w:rPr>
          <w:rFonts w:ascii="Arial" w:hAnsi="Arial" w:cs="Arial"/>
          <w:bCs/>
          <w:lang w:val="fr-CH"/>
        </w:rPr>
        <w:t xml:space="preserve">Energie-bois Suisse a </w:t>
      </w:r>
      <w:r w:rsidR="004D047B">
        <w:rPr>
          <w:rFonts w:ascii="Arial" w:hAnsi="Arial" w:cs="Arial"/>
          <w:bCs/>
          <w:lang w:val="fr-CH"/>
        </w:rPr>
        <w:t>soulevé</w:t>
      </w:r>
      <w:r w:rsidRPr="006E7549">
        <w:rPr>
          <w:rFonts w:ascii="Arial" w:hAnsi="Arial" w:cs="Arial"/>
          <w:bCs/>
          <w:lang w:val="fr-CH"/>
        </w:rPr>
        <w:t xml:space="preserve"> l</w:t>
      </w:r>
      <w:r w:rsidR="004D047B">
        <w:rPr>
          <w:rFonts w:ascii="Arial" w:hAnsi="Arial" w:cs="Arial"/>
          <w:bCs/>
          <w:lang w:val="fr-CH"/>
        </w:rPr>
        <w:t>a</w:t>
      </w:r>
      <w:r w:rsidRPr="006E7549">
        <w:rPr>
          <w:rFonts w:ascii="Arial" w:hAnsi="Arial" w:cs="Arial"/>
          <w:bCs/>
          <w:lang w:val="fr-CH"/>
        </w:rPr>
        <w:t xml:space="preserve"> </w:t>
      </w:r>
      <w:r w:rsidR="004D047B">
        <w:rPr>
          <w:rFonts w:ascii="Arial" w:hAnsi="Arial" w:cs="Arial"/>
          <w:bCs/>
          <w:lang w:val="fr-CH"/>
        </w:rPr>
        <w:t>question</w:t>
      </w:r>
      <w:r w:rsidRPr="006E7549">
        <w:rPr>
          <w:rFonts w:ascii="Arial" w:hAnsi="Arial" w:cs="Arial"/>
          <w:bCs/>
          <w:lang w:val="fr-CH"/>
        </w:rPr>
        <w:t xml:space="preserve"> des idées de projets </w:t>
      </w:r>
      <w:r w:rsidR="004D047B">
        <w:rPr>
          <w:rFonts w:ascii="Arial" w:hAnsi="Arial" w:cs="Arial"/>
          <w:bCs/>
          <w:lang w:val="fr-CH"/>
        </w:rPr>
        <w:t>visant à construire</w:t>
      </w:r>
      <w:r w:rsidRPr="006E7549">
        <w:rPr>
          <w:rFonts w:ascii="Arial" w:hAnsi="Arial" w:cs="Arial"/>
          <w:bCs/>
          <w:lang w:val="fr-CH"/>
        </w:rPr>
        <w:t xml:space="preserve"> de grandes centrales de chauffage au bois-énergie dans le contexte urbain. </w:t>
      </w:r>
      <w:r w:rsidR="004D047B">
        <w:rPr>
          <w:rFonts w:ascii="Arial" w:hAnsi="Arial" w:cs="Arial"/>
          <w:bCs/>
          <w:lang w:val="fr-CH"/>
        </w:rPr>
        <w:t xml:space="preserve">Les alimenter aurait accru le risque </w:t>
      </w:r>
      <w:r w:rsidR="004255FE" w:rsidRPr="004255FE">
        <w:rPr>
          <w:rFonts w:ascii="Arial" w:hAnsi="Arial" w:cs="Arial"/>
          <w:bCs/>
          <w:lang w:val="fr-CH"/>
        </w:rPr>
        <w:t>de faire exploser les limites d’une gestion forestière durable</w:t>
      </w:r>
      <w:r w:rsidR="000F1E99" w:rsidRPr="004255FE">
        <w:rPr>
          <w:rFonts w:ascii="Arial" w:hAnsi="Arial" w:cs="Arial"/>
          <w:bCs/>
          <w:lang w:val="fr-CH"/>
        </w:rPr>
        <w:t xml:space="preserve">. </w:t>
      </w:r>
      <w:r w:rsidR="004255FE" w:rsidRPr="004255FE">
        <w:rPr>
          <w:rFonts w:ascii="Arial" w:hAnsi="Arial" w:cs="Arial"/>
          <w:bCs/>
          <w:lang w:val="fr-CH"/>
        </w:rPr>
        <w:t>Une</w:t>
      </w:r>
      <w:r w:rsidR="008024C8" w:rsidRPr="004255FE">
        <w:rPr>
          <w:rFonts w:ascii="Arial" w:hAnsi="Arial" w:cs="Arial"/>
          <w:bCs/>
          <w:lang w:val="fr-CH"/>
        </w:rPr>
        <w:t xml:space="preserve"> </w:t>
      </w:r>
      <w:r w:rsidR="004255FE" w:rsidRPr="004255FE">
        <w:rPr>
          <w:rFonts w:ascii="Arial" w:hAnsi="Arial" w:cs="Arial"/>
          <w:bCs/>
          <w:lang w:val="fr-CH"/>
        </w:rPr>
        <w:t xml:space="preserve">incertitude s’est installée, </w:t>
      </w:r>
      <w:r w:rsidR="004D047B">
        <w:rPr>
          <w:rFonts w:ascii="Arial" w:hAnsi="Arial" w:cs="Arial"/>
          <w:bCs/>
          <w:lang w:val="fr-CH"/>
        </w:rPr>
        <w:t>nourrie</w:t>
      </w:r>
      <w:r w:rsidR="004255FE" w:rsidRPr="004255FE">
        <w:rPr>
          <w:rFonts w:ascii="Arial" w:hAnsi="Arial" w:cs="Arial"/>
          <w:bCs/>
          <w:lang w:val="fr-CH"/>
        </w:rPr>
        <w:t xml:space="preserve"> par la question de</w:t>
      </w:r>
      <w:r w:rsidR="004D047B">
        <w:rPr>
          <w:rFonts w:ascii="Arial" w:hAnsi="Arial" w:cs="Arial"/>
          <w:bCs/>
          <w:lang w:val="fr-CH"/>
        </w:rPr>
        <w:t xml:space="preserve"> savoir quel</w:t>
      </w:r>
      <w:r w:rsidR="004255FE" w:rsidRPr="004255FE">
        <w:rPr>
          <w:rFonts w:ascii="Arial" w:hAnsi="Arial" w:cs="Arial"/>
          <w:bCs/>
          <w:lang w:val="fr-CH"/>
        </w:rPr>
        <w:t xml:space="preserve">s </w:t>
      </w:r>
      <w:r w:rsidR="004D047B">
        <w:rPr>
          <w:rFonts w:ascii="Arial" w:hAnsi="Arial" w:cs="Arial"/>
          <w:bCs/>
          <w:lang w:val="fr-CH"/>
        </w:rPr>
        <w:t>volumes</w:t>
      </w:r>
      <w:r w:rsidR="004255FE" w:rsidRPr="004255FE">
        <w:rPr>
          <w:rFonts w:ascii="Arial" w:hAnsi="Arial" w:cs="Arial"/>
          <w:bCs/>
          <w:lang w:val="fr-CH"/>
        </w:rPr>
        <w:t xml:space="preserve"> de bois </w:t>
      </w:r>
      <w:r w:rsidR="004D047B">
        <w:rPr>
          <w:rFonts w:ascii="Arial" w:hAnsi="Arial" w:cs="Arial"/>
          <w:bCs/>
          <w:lang w:val="fr-CH"/>
        </w:rPr>
        <w:t xml:space="preserve">sont </w:t>
      </w:r>
      <w:r w:rsidR="004255FE" w:rsidRPr="004255FE">
        <w:rPr>
          <w:rFonts w:ascii="Arial" w:hAnsi="Arial" w:cs="Arial"/>
          <w:bCs/>
          <w:lang w:val="fr-CH"/>
        </w:rPr>
        <w:t>exploités pour la</w:t>
      </w:r>
      <w:r w:rsidR="004255FE">
        <w:rPr>
          <w:rFonts w:ascii="Arial" w:hAnsi="Arial" w:cs="Arial"/>
          <w:bCs/>
          <w:lang w:val="fr-CH"/>
        </w:rPr>
        <w:t xml:space="preserve"> génération d’énergie et</w:t>
      </w:r>
      <w:r w:rsidR="00932729">
        <w:rPr>
          <w:rFonts w:ascii="Arial" w:hAnsi="Arial" w:cs="Arial"/>
          <w:bCs/>
          <w:lang w:val="fr-CH"/>
        </w:rPr>
        <w:t xml:space="preserve"> à combien se chiffre</w:t>
      </w:r>
      <w:r w:rsidR="004D047B">
        <w:rPr>
          <w:rFonts w:ascii="Arial" w:hAnsi="Arial" w:cs="Arial"/>
          <w:bCs/>
          <w:lang w:val="fr-CH"/>
        </w:rPr>
        <w:t xml:space="preserve"> le potentiel restant.</w:t>
      </w:r>
      <w:r w:rsidR="008024C8" w:rsidRPr="004255FE">
        <w:rPr>
          <w:rFonts w:ascii="Arial" w:hAnsi="Arial" w:cs="Arial"/>
          <w:bCs/>
          <w:lang w:val="fr-CH"/>
        </w:rPr>
        <w:t xml:space="preserve"> </w:t>
      </w:r>
    </w:p>
    <w:p w14:paraId="662027F8" w14:textId="6E365598" w:rsidR="001030E2" w:rsidRPr="00324C20" w:rsidRDefault="00324C20" w:rsidP="004851EA">
      <w:pPr>
        <w:rPr>
          <w:rFonts w:ascii="Arial" w:hAnsi="Arial" w:cs="Arial"/>
          <w:bCs/>
          <w:lang w:val="fr-CH"/>
        </w:rPr>
      </w:pPr>
      <w:r w:rsidRPr="00324C20">
        <w:rPr>
          <w:rFonts w:ascii="Arial" w:hAnsi="Arial" w:cs="Arial"/>
          <w:lang w:val="fr-CH"/>
        </w:rPr>
        <w:t xml:space="preserve">Dans le cadre du plan d’action bois, l’Office fédéral de l’environnement OFEV a </w:t>
      </w:r>
      <w:r w:rsidR="004D047B">
        <w:rPr>
          <w:rFonts w:ascii="Arial" w:hAnsi="Arial" w:cs="Arial"/>
          <w:lang w:val="fr-CH"/>
        </w:rPr>
        <w:t>chargé</w:t>
      </w:r>
      <w:r w:rsidRPr="00324C20">
        <w:rPr>
          <w:rFonts w:ascii="Arial" w:hAnsi="Arial" w:cs="Arial"/>
          <w:lang w:val="fr-CH"/>
        </w:rPr>
        <w:t xml:space="preserve"> Energie-bois Suisse de clarifier ces questions </w:t>
      </w:r>
      <w:r>
        <w:rPr>
          <w:rFonts w:ascii="Arial" w:hAnsi="Arial" w:cs="Arial"/>
          <w:lang w:val="fr-CH"/>
        </w:rPr>
        <w:t xml:space="preserve">en élaborant une </w:t>
      </w:r>
      <w:r>
        <w:rPr>
          <w:rFonts w:ascii="Arial" w:hAnsi="Arial" w:cs="Arial"/>
          <w:i/>
          <w:iCs/>
          <w:lang w:val="fr-CH"/>
        </w:rPr>
        <w:t>Etude de m</w:t>
      </w:r>
      <w:r w:rsidR="008024C8" w:rsidRPr="00324C20">
        <w:rPr>
          <w:rFonts w:ascii="Arial" w:hAnsi="Arial" w:cs="Arial"/>
          <w:i/>
          <w:iCs/>
          <w:lang w:val="fr-CH"/>
        </w:rPr>
        <w:t>onitoring</w:t>
      </w:r>
      <w:r>
        <w:rPr>
          <w:rFonts w:ascii="Arial" w:hAnsi="Arial" w:cs="Arial"/>
          <w:i/>
          <w:iCs/>
          <w:lang w:val="fr-CH"/>
        </w:rPr>
        <w:t xml:space="preserve"> bois-énergie</w:t>
      </w:r>
      <w:r w:rsidR="008024C8" w:rsidRPr="00324C20">
        <w:rPr>
          <w:rFonts w:ascii="Arial" w:hAnsi="Arial" w:cs="Arial"/>
          <w:i/>
          <w:iCs/>
          <w:lang w:val="fr-CH"/>
        </w:rPr>
        <w:t xml:space="preserve"> </w:t>
      </w:r>
      <w:r w:rsidR="004D047B">
        <w:rPr>
          <w:rFonts w:ascii="Arial" w:hAnsi="Arial" w:cs="Arial"/>
          <w:i/>
          <w:iCs/>
          <w:lang w:val="fr-CH"/>
        </w:rPr>
        <w:t xml:space="preserve">en Suisse </w:t>
      </w:r>
      <w:r w:rsidR="00463D38" w:rsidRPr="002A6B02">
        <w:rPr>
          <w:rFonts w:ascii="Arial" w:hAnsi="Arial" w:cs="Arial"/>
          <w:lang w:val="fr-CH"/>
        </w:rPr>
        <w:t>(en allemand pour l’instant)</w:t>
      </w:r>
      <w:r w:rsidR="00463D38">
        <w:rPr>
          <w:rFonts w:ascii="Arial" w:hAnsi="Arial" w:cs="Arial"/>
          <w:i/>
          <w:iCs/>
          <w:lang w:val="fr-CH"/>
        </w:rPr>
        <w:t xml:space="preserve"> </w:t>
      </w:r>
      <w:r w:rsidR="004D047B" w:rsidRPr="004D047B">
        <w:rPr>
          <w:rFonts w:ascii="Arial" w:hAnsi="Arial" w:cs="Arial"/>
          <w:lang w:val="fr-CH"/>
        </w:rPr>
        <w:t xml:space="preserve">pour </w:t>
      </w:r>
      <w:r w:rsidR="008024C8" w:rsidRPr="004D047B">
        <w:rPr>
          <w:rFonts w:ascii="Arial" w:hAnsi="Arial" w:cs="Arial"/>
          <w:lang w:val="fr-CH"/>
        </w:rPr>
        <w:t>2023</w:t>
      </w:r>
      <w:r w:rsidR="00463D38">
        <w:rPr>
          <w:rFonts w:ascii="Arial" w:hAnsi="Arial" w:cs="Arial"/>
          <w:lang w:val="fr-CH"/>
        </w:rPr>
        <w:t xml:space="preserve">. Son objectif est de fournir des </w:t>
      </w:r>
      <w:r w:rsidR="00463D38">
        <w:rPr>
          <w:rFonts w:ascii="Arial" w:hAnsi="Arial" w:cs="Arial"/>
          <w:lang w:val="fr-CH"/>
        </w:rPr>
        <w:lastRenderedPageBreak/>
        <w:t>bases de décision po</w:t>
      </w:r>
      <w:r>
        <w:rPr>
          <w:rFonts w:ascii="Arial" w:hAnsi="Arial" w:cs="Arial"/>
          <w:lang w:val="fr-CH"/>
        </w:rPr>
        <w:t xml:space="preserve">ur un développement ordonné du marché à l’horizon </w:t>
      </w:r>
      <w:r w:rsidR="00925D45" w:rsidRPr="00324C20">
        <w:rPr>
          <w:rFonts w:ascii="Arial" w:hAnsi="Arial" w:cs="Arial"/>
          <w:lang w:val="fr-CH"/>
        </w:rPr>
        <w:t xml:space="preserve">2024 </w:t>
      </w:r>
      <w:r>
        <w:rPr>
          <w:rFonts w:ascii="Arial" w:hAnsi="Arial" w:cs="Arial"/>
          <w:lang w:val="fr-CH"/>
        </w:rPr>
        <w:t>à</w:t>
      </w:r>
      <w:r w:rsidR="00925D45" w:rsidRPr="00324C20">
        <w:rPr>
          <w:rFonts w:ascii="Arial" w:hAnsi="Arial" w:cs="Arial"/>
          <w:lang w:val="fr-CH"/>
        </w:rPr>
        <w:t xml:space="preserve"> 2026 </w:t>
      </w:r>
      <w:r>
        <w:rPr>
          <w:rFonts w:ascii="Arial" w:hAnsi="Arial" w:cs="Arial"/>
          <w:lang w:val="fr-CH"/>
        </w:rPr>
        <w:t>dans l’esprit d’une efficacité maximisée des ressources.</w:t>
      </w:r>
      <w:r w:rsidR="004851EA" w:rsidRPr="00324C20">
        <w:rPr>
          <w:rFonts w:ascii="Arial" w:hAnsi="Arial" w:cs="Arial"/>
          <w:lang w:val="fr-CH"/>
        </w:rPr>
        <w:t xml:space="preserve"> </w:t>
      </w:r>
      <w:r w:rsidRPr="00324C20">
        <w:rPr>
          <w:rFonts w:ascii="Arial" w:hAnsi="Arial" w:cs="Arial"/>
          <w:lang w:val="fr-CH"/>
        </w:rPr>
        <w:t xml:space="preserve">En se basant sur </w:t>
      </w:r>
      <w:r w:rsidR="00463D38">
        <w:rPr>
          <w:rFonts w:ascii="Arial" w:hAnsi="Arial" w:cs="Arial"/>
          <w:lang w:val="fr-CH"/>
        </w:rPr>
        <w:t>une</w:t>
      </w:r>
      <w:r w:rsidRPr="00324C20">
        <w:rPr>
          <w:rFonts w:ascii="Arial" w:hAnsi="Arial" w:cs="Arial"/>
          <w:lang w:val="fr-CH"/>
        </w:rPr>
        <w:t xml:space="preserve"> analyse de</w:t>
      </w:r>
      <w:r w:rsidR="00463D38">
        <w:rPr>
          <w:rFonts w:ascii="Arial" w:hAnsi="Arial" w:cs="Arial"/>
          <w:lang w:val="fr-CH"/>
        </w:rPr>
        <w:t>s</w:t>
      </w:r>
      <w:r w:rsidRPr="00324C20">
        <w:rPr>
          <w:rFonts w:ascii="Arial" w:hAnsi="Arial" w:cs="Arial"/>
          <w:lang w:val="fr-CH"/>
        </w:rPr>
        <w:t xml:space="preserve"> méthodes de </w:t>
      </w:r>
      <w:r w:rsidR="00463D38">
        <w:rPr>
          <w:rFonts w:ascii="Arial" w:hAnsi="Arial" w:cs="Arial"/>
          <w:lang w:val="fr-CH"/>
        </w:rPr>
        <w:t>collecte</w:t>
      </w:r>
      <w:r w:rsidRPr="00324C20">
        <w:rPr>
          <w:rFonts w:ascii="Arial" w:hAnsi="Arial" w:cs="Arial"/>
          <w:lang w:val="fr-CH"/>
        </w:rPr>
        <w:t xml:space="preserve"> existantes, de</w:t>
      </w:r>
      <w:r w:rsidR="00463D38">
        <w:rPr>
          <w:rFonts w:ascii="Arial" w:hAnsi="Arial" w:cs="Arial"/>
          <w:lang w:val="fr-CH"/>
        </w:rPr>
        <w:t>s</w:t>
      </w:r>
      <w:r w:rsidRPr="00324C20">
        <w:rPr>
          <w:rFonts w:ascii="Arial" w:hAnsi="Arial" w:cs="Arial"/>
          <w:lang w:val="fr-CH"/>
        </w:rPr>
        <w:t xml:space="preserve"> statistiques</w:t>
      </w:r>
      <w:r w:rsidR="00463D38">
        <w:rPr>
          <w:rFonts w:ascii="Arial" w:hAnsi="Arial" w:cs="Arial"/>
          <w:lang w:val="fr-CH"/>
        </w:rPr>
        <w:t xml:space="preserve"> et</w:t>
      </w:r>
      <w:r w:rsidRPr="00324C20">
        <w:rPr>
          <w:rFonts w:ascii="Arial" w:hAnsi="Arial" w:cs="Arial"/>
          <w:lang w:val="fr-CH"/>
        </w:rPr>
        <w:t xml:space="preserve"> de</w:t>
      </w:r>
      <w:r w:rsidR="00463D38">
        <w:rPr>
          <w:rFonts w:ascii="Arial" w:hAnsi="Arial" w:cs="Arial"/>
          <w:lang w:val="fr-CH"/>
        </w:rPr>
        <w:t>s</w:t>
      </w:r>
      <w:r w:rsidRPr="00324C20">
        <w:rPr>
          <w:rFonts w:ascii="Arial" w:hAnsi="Arial" w:cs="Arial"/>
          <w:lang w:val="fr-CH"/>
        </w:rPr>
        <w:t xml:space="preserve"> sources de données, etc.</w:t>
      </w:r>
      <w:r w:rsidR="00463D38">
        <w:rPr>
          <w:rFonts w:ascii="Arial" w:hAnsi="Arial" w:cs="Arial"/>
          <w:lang w:val="fr-CH"/>
        </w:rPr>
        <w:t>, il s’agissait de</w:t>
      </w:r>
      <w:r w:rsidRPr="00324C20">
        <w:rPr>
          <w:rFonts w:ascii="Arial" w:hAnsi="Arial" w:cs="Arial"/>
          <w:lang w:val="fr-CH"/>
        </w:rPr>
        <w:t xml:space="preserve"> </w:t>
      </w:r>
      <w:r w:rsidR="00463D38">
        <w:rPr>
          <w:rFonts w:ascii="Arial" w:hAnsi="Arial" w:cs="Arial"/>
          <w:lang w:val="fr-CH"/>
        </w:rPr>
        <w:t>décrire</w:t>
      </w:r>
      <w:r w:rsidRPr="00324C20">
        <w:rPr>
          <w:rFonts w:ascii="Arial" w:hAnsi="Arial" w:cs="Arial"/>
          <w:lang w:val="fr-CH"/>
        </w:rPr>
        <w:t xml:space="preserve"> la cons</w:t>
      </w:r>
      <w:r>
        <w:rPr>
          <w:rFonts w:ascii="Arial" w:hAnsi="Arial" w:cs="Arial"/>
          <w:lang w:val="fr-CH"/>
        </w:rPr>
        <w:t xml:space="preserve">ommation actuelle, le potentiel disponible et la demande future. </w:t>
      </w:r>
      <w:r w:rsidRPr="00324C20">
        <w:rPr>
          <w:rFonts w:ascii="Arial" w:hAnsi="Arial" w:cs="Arial"/>
          <w:lang w:val="fr-CH"/>
        </w:rPr>
        <w:t xml:space="preserve">Il </w:t>
      </w:r>
      <w:r w:rsidR="00463D38">
        <w:rPr>
          <w:rFonts w:ascii="Arial" w:hAnsi="Arial" w:cs="Arial"/>
          <w:lang w:val="fr-CH"/>
        </w:rPr>
        <w:t>fallait</w:t>
      </w:r>
      <w:r w:rsidRPr="00324C20">
        <w:rPr>
          <w:rFonts w:ascii="Arial" w:hAnsi="Arial" w:cs="Arial"/>
          <w:lang w:val="fr-CH"/>
        </w:rPr>
        <w:t xml:space="preserve"> pour ce</w:t>
      </w:r>
      <w:r w:rsidR="00463D38">
        <w:rPr>
          <w:rFonts w:ascii="Arial" w:hAnsi="Arial" w:cs="Arial"/>
          <w:lang w:val="fr-CH"/>
        </w:rPr>
        <w:t>la</w:t>
      </w:r>
      <w:r w:rsidRPr="00324C20">
        <w:rPr>
          <w:rFonts w:ascii="Arial" w:hAnsi="Arial" w:cs="Arial"/>
          <w:lang w:val="fr-CH"/>
        </w:rPr>
        <w:t xml:space="preserve"> recenser et évaluer les facteurs d’influence</w:t>
      </w:r>
      <w:r w:rsidR="00463D38">
        <w:rPr>
          <w:rFonts w:ascii="Arial" w:hAnsi="Arial" w:cs="Arial"/>
          <w:lang w:val="fr-CH"/>
        </w:rPr>
        <w:t>,</w:t>
      </w:r>
      <w:r w:rsidRPr="00324C20">
        <w:rPr>
          <w:rFonts w:ascii="Arial" w:hAnsi="Arial" w:cs="Arial"/>
          <w:lang w:val="fr-CH"/>
        </w:rPr>
        <w:t xml:space="preserve"> tels que les conditions climatiques, énergétiques, politiques et économiques</w:t>
      </w:r>
      <w:r w:rsidR="00463D38">
        <w:rPr>
          <w:rFonts w:ascii="Arial" w:hAnsi="Arial" w:cs="Arial"/>
          <w:lang w:val="fr-CH"/>
        </w:rPr>
        <w:t>,</w:t>
      </w:r>
      <w:r w:rsidR="00D302B0" w:rsidRPr="00324C20">
        <w:rPr>
          <w:rFonts w:ascii="Arial" w:hAnsi="Arial" w:cs="Arial"/>
          <w:lang w:val="fr-CH"/>
        </w:rPr>
        <w:t xml:space="preserve"> </w:t>
      </w:r>
      <w:r w:rsidRPr="00324C20">
        <w:rPr>
          <w:rFonts w:ascii="Arial" w:hAnsi="Arial" w:cs="Arial"/>
          <w:lang w:val="fr-CH"/>
        </w:rPr>
        <w:t>et</w:t>
      </w:r>
      <w:r>
        <w:rPr>
          <w:rFonts w:ascii="Arial" w:hAnsi="Arial" w:cs="Arial"/>
          <w:lang w:val="fr-CH"/>
        </w:rPr>
        <w:t xml:space="preserve"> de </w:t>
      </w:r>
      <w:r w:rsidRPr="00324C20">
        <w:rPr>
          <w:rFonts w:ascii="Arial" w:hAnsi="Arial" w:cs="Arial"/>
          <w:lang w:val="fr-CH"/>
        </w:rPr>
        <w:t>décrire l</w:t>
      </w:r>
      <w:r>
        <w:rPr>
          <w:rFonts w:ascii="Arial" w:hAnsi="Arial" w:cs="Arial"/>
          <w:lang w:val="fr-CH"/>
        </w:rPr>
        <w:t>’</w:t>
      </w:r>
      <w:r w:rsidRPr="00324C20">
        <w:rPr>
          <w:rFonts w:ascii="Arial" w:hAnsi="Arial" w:cs="Arial"/>
          <w:lang w:val="fr-CH"/>
        </w:rPr>
        <w:t>évolution passée et future du marché</w:t>
      </w:r>
      <w:r w:rsidR="00D302B0" w:rsidRPr="00324C20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dans le cadre d’un monitoring périod</w:t>
      </w:r>
      <w:r w:rsidR="00463D38">
        <w:rPr>
          <w:rFonts w:ascii="Arial" w:hAnsi="Arial" w:cs="Arial"/>
          <w:lang w:val="fr-CH"/>
        </w:rPr>
        <w:t>iqu</w:t>
      </w:r>
      <w:r>
        <w:rPr>
          <w:rFonts w:ascii="Arial" w:hAnsi="Arial" w:cs="Arial"/>
          <w:lang w:val="fr-CH"/>
        </w:rPr>
        <w:t>e au cours des années à venir.</w:t>
      </w:r>
    </w:p>
    <w:p w14:paraId="718ECDB0" w14:textId="08C92C27" w:rsidR="001030E2" w:rsidRPr="00005119" w:rsidRDefault="00005119" w:rsidP="00FB7C48">
      <w:pPr>
        <w:spacing w:after="0"/>
        <w:rPr>
          <w:rFonts w:ascii="Arial" w:hAnsi="Arial" w:cs="Arial"/>
          <w:b/>
          <w:lang w:val="fr-CH"/>
        </w:rPr>
      </w:pPr>
      <w:r w:rsidRPr="00005119">
        <w:rPr>
          <w:rFonts w:ascii="Arial" w:hAnsi="Arial" w:cs="Arial"/>
          <w:b/>
          <w:lang w:val="fr-CH"/>
        </w:rPr>
        <w:t>Quelles quantités de bois-énergie utilison</w:t>
      </w:r>
      <w:r>
        <w:rPr>
          <w:rFonts w:ascii="Arial" w:hAnsi="Arial" w:cs="Arial"/>
          <w:b/>
          <w:lang w:val="fr-CH"/>
        </w:rPr>
        <w:t>s-nous aujourd’hui</w:t>
      </w:r>
      <w:r w:rsidR="00770347" w:rsidRPr="00005119">
        <w:rPr>
          <w:rFonts w:ascii="Arial" w:hAnsi="Arial" w:cs="Arial"/>
          <w:b/>
          <w:lang w:val="fr-CH"/>
        </w:rPr>
        <w:t>?</w:t>
      </w:r>
    </w:p>
    <w:p w14:paraId="0D33926E" w14:textId="77777777" w:rsidR="00770347" w:rsidRPr="00005119" w:rsidRDefault="00770347" w:rsidP="00FB7C48">
      <w:pPr>
        <w:spacing w:after="0"/>
        <w:rPr>
          <w:rFonts w:ascii="Arial" w:hAnsi="Arial" w:cs="Arial"/>
          <w:bCs/>
          <w:lang w:val="fr-CH"/>
        </w:rPr>
      </w:pPr>
    </w:p>
    <w:p w14:paraId="2E137989" w14:textId="4FCA2DD7" w:rsidR="00770347" w:rsidRPr="00005119" w:rsidRDefault="00005119" w:rsidP="00FB7C48">
      <w:pPr>
        <w:spacing w:after="0"/>
        <w:rPr>
          <w:rFonts w:ascii="Arial" w:hAnsi="Arial" w:cs="Arial"/>
          <w:bCs/>
          <w:lang w:val="fr-CH"/>
        </w:rPr>
      </w:pPr>
      <w:r w:rsidRPr="00005119">
        <w:rPr>
          <w:rFonts w:ascii="Arial" w:hAnsi="Arial" w:cs="Arial"/>
          <w:bCs/>
          <w:lang w:val="fr-CH"/>
        </w:rPr>
        <w:t xml:space="preserve">En </w:t>
      </w:r>
      <w:r w:rsidR="00770347" w:rsidRPr="00005119">
        <w:rPr>
          <w:rFonts w:ascii="Arial" w:hAnsi="Arial" w:cs="Arial"/>
          <w:bCs/>
          <w:lang w:val="fr-CH"/>
        </w:rPr>
        <w:t>2022</w:t>
      </w:r>
      <w:r w:rsidRPr="00005119">
        <w:rPr>
          <w:rFonts w:ascii="Arial" w:hAnsi="Arial" w:cs="Arial"/>
          <w:bCs/>
          <w:lang w:val="fr-CH"/>
        </w:rPr>
        <w:t>, le pourcentage de bois-énergie se situait à 5,8% de la consommation d’énergie totale; quant à la consommation de chaleu</w:t>
      </w:r>
      <w:r>
        <w:rPr>
          <w:rFonts w:ascii="Arial" w:hAnsi="Arial" w:cs="Arial"/>
          <w:bCs/>
          <w:lang w:val="fr-CH"/>
        </w:rPr>
        <w:t xml:space="preserve">r, le bois a contribué non moins de </w:t>
      </w:r>
      <w:r w:rsidR="00770347" w:rsidRPr="00005119">
        <w:rPr>
          <w:rFonts w:ascii="Arial" w:hAnsi="Arial" w:cs="Arial"/>
          <w:bCs/>
          <w:lang w:val="fr-CH"/>
        </w:rPr>
        <w:t>11,0</w:t>
      </w:r>
      <w:r>
        <w:rPr>
          <w:rFonts w:ascii="Arial" w:hAnsi="Arial" w:cs="Arial"/>
          <w:bCs/>
          <w:lang w:val="fr-CH"/>
        </w:rPr>
        <w:t>%</w:t>
      </w:r>
      <w:r w:rsidR="00770347" w:rsidRPr="00005119">
        <w:rPr>
          <w:rFonts w:ascii="Arial" w:hAnsi="Arial" w:cs="Arial"/>
          <w:bCs/>
          <w:lang w:val="fr-CH"/>
        </w:rPr>
        <w:t xml:space="preserve">. </w:t>
      </w:r>
      <w:r w:rsidRPr="0058123E">
        <w:rPr>
          <w:rFonts w:ascii="Arial" w:hAnsi="Arial" w:cs="Arial"/>
          <w:bCs/>
          <w:lang w:val="fr-CH"/>
        </w:rPr>
        <w:t>On constate depuis</w:t>
      </w:r>
      <w:r w:rsidR="004159F2" w:rsidRPr="0058123E">
        <w:rPr>
          <w:rFonts w:ascii="Arial" w:hAnsi="Arial" w:cs="Arial"/>
          <w:bCs/>
          <w:lang w:val="fr-CH"/>
        </w:rPr>
        <w:t xml:space="preserve"> 1990</w:t>
      </w:r>
      <w:r w:rsidR="00B536D8" w:rsidRPr="0058123E">
        <w:rPr>
          <w:rFonts w:ascii="Arial" w:hAnsi="Arial" w:cs="Arial"/>
          <w:bCs/>
          <w:lang w:val="fr-CH"/>
        </w:rPr>
        <w:t xml:space="preserve"> </w:t>
      </w:r>
      <w:r w:rsidRPr="0058123E">
        <w:rPr>
          <w:rFonts w:ascii="Arial" w:hAnsi="Arial" w:cs="Arial"/>
          <w:bCs/>
          <w:lang w:val="fr-CH"/>
        </w:rPr>
        <w:t xml:space="preserve">un décalage important des petites installations vers les plus grandes et des bûches vers les plaquettes. </w:t>
      </w:r>
      <w:r w:rsidR="00463D38">
        <w:rPr>
          <w:rFonts w:ascii="Arial" w:hAnsi="Arial" w:cs="Arial"/>
          <w:bCs/>
          <w:lang w:val="fr-CH"/>
        </w:rPr>
        <w:t>D’après</w:t>
      </w:r>
      <w:r w:rsidRPr="00005119">
        <w:rPr>
          <w:rFonts w:ascii="Arial" w:hAnsi="Arial" w:cs="Arial"/>
          <w:bCs/>
          <w:lang w:val="fr-CH"/>
        </w:rPr>
        <w:t xml:space="preserve"> la </w:t>
      </w:r>
      <w:r w:rsidR="00463D38">
        <w:rPr>
          <w:rFonts w:ascii="Arial" w:hAnsi="Arial" w:cs="Arial"/>
          <w:bCs/>
          <w:lang w:val="fr-CH"/>
        </w:rPr>
        <w:t>S</w:t>
      </w:r>
      <w:r w:rsidRPr="00005119">
        <w:rPr>
          <w:rFonts w:ascii="Arial" w:hAnsi="Arial" w:cs="Arial"/>
          <w:bCs/>
          <w:lang w:val="fr-CH"/>
        </w:rPr>
        <w:t xml:space="preserve">tatistique de l’énergie du bois suisse, l’évolution </w:t>
      </w:r>
      <w:r>
        <w:rPr>
          <w:rFonts w:ascii="Arial" w:hAnsi="Arial" w:cs="Arial"/>
          <w:bCs/>
          <w:lang w:val="fr-CH"/>
        </w:rPr>
        <w:t xml:space="preserve">de </w:t>
      </w:r>
      <w:r w:rsidRPr="00005119">
        <w:rPr>
          <w:rFonts w:ascii="Arial" w:hAnsi="Arial" w:cs="Arial"/>
          <w:bCs/>
          <w:lang w:val="fr-CH"/>
        </w:rPr>
        <w:t xml:space="preserve">1990 </w:t>
      </w:r>
      <w:r>
        <w:rPr>
          <w:rFonts w:ascii="Arial" w:hAnsi="Arial" w:cs="Arial"/>
          <w:bCs/>
          <w:lang w:val="fr-CH"/>
        </w:rPr>
        <w:t>à</w:t>
      </w:r>
      <w:r w:rsidRPr="00005119">
        <w:rPr>
          <w:rFonts w:ascii="Arial" w:hAnsi="Arial" w:cs="Arial"/>
          <w:bCs/>
          <w:lang w:val="fr-CH"/>
        </w:rPr>
        <w:t xml:space="preserve"> 2022 se présente comme suit</w:t>
      </w:r>
      <w:r>
        <w:rPr>
          <w:rFonts w:ascii="Arial" w:hAnsi="Arial" w:cs="Arial"/>
          <w:bCs/>
          <w:lang w:val="fr-CH"/>
        </w:rPr>
        <w:t>:</w:t>
      </w:r>
    </w:p>
    <w:p w14:paraId="2621E492" w14:textId="77777777" w:rsidR="00770347" w:rsidRPr="00005119" w:rsidRDefault="00770347" w:rsidP="00FB7C48">
      <w:pPr>
        <w:spacing w:after="0"/>
        <w:rPr>
          <w:rFonts w:ascii="Arial" w:hAnsi="Arial" w:cs="Arial"/>
          <w:bCs/>
          <w:lang w:val="fr-CH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701"/>
        <w:gridCol w:w="1541"/>
        <w:gridCol w:w="1147"/>
      </w:tblGrid>
      <w:tr w:rsidR="00B536D8" w:rsidRPr="008C0CFB" w14:paraId="32190DA2" w14:textId="77777777" w:rsidTr="00463D38">
        <w:tc>
          <w:tcPr>
            <w:tcW w:w="3681" w:type="dxa"/>
            <w:vMerge w:val="restart"/>
          </w:tcPr>
          <w:p w14:paraId="3CCAB705" w14:textId="26863ED7" w:rsidR="00B536D8" w:rsidRPr="008C0CFB" w:rsidRDefault="00005119" w:rsidP="00FB7C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Catégorie d’installation</w:t>
            </w:r>
          </w:p>
        </w:tc>
        <w:tc>
          <w:tcPr>
            <w:tcW w:w="992" w:type="dxa"/>
            <w:vMerge w:val="restart"/>
          </w:tcPr>
          <w:p w14:paraId="47DC20CB" w14:textId="546F83B3" w:rsidR="00B536D8" w:rsidRPr="008C0CFB" w:rsidRDefault="00005119" w:rsidP="00B536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Année</w:t>
            </w:r>
          </w:p>
        </w:tc>
        <w:tc>
          <w:tcPr>
            <w:tcW w:w="1701" w:type="dxa"/>
            <w:vMerge w:val="restart"/>
          </w:tcPr>
          <w:p w14:paraId="62E2EDC0" w14:textId="13ECE2B2" w:rsidR="00B536D8" w:rsidRPr="008C0CFB" w:rsidRDefault="00005119" w:rsidP="0055395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d’installations</w:t>
            </w:r>
            <w:r w:rsidR="00B536D8" w:rsidRPr="008C0C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88" w:type="dxa"/>
            <w:gridSpan w:val="2"/>
          </w:tcPr>
          <w:p w14:paraId="2A5FA3BB" w14:textId="2CD473B5" w:rsidR="00B536D8" w:rsidRPr="008C0CFB" w:rsidRDefault="00005119" w:rsidP="00FB7C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Consomm.</w:t>
            </w:r>
            <w:r w:rsidR="00B536D8" w:rsidRPr="008C0CFB">
              <w:rPr>
                <w:rFonts w:ascii="Arial" w:hAnsi="Arial" w:cs="Arial"/>
                <w:b/>
              </w:rPr>
              <w:t>/prod.</w:t>
            </w:r>
            <w:r>
              <w:rPr>
                <w:rFonts w:ascii="Arial" w:hAnsi="Arial" w:cs="Arial"/>
                <w:b/>
              </w:rPr>
              <w:t xml:space="preserve"> énerg.</w:t>
            </w:r>
          </w:p>
        </w:tc>
      </w:tr>
      <w:tr w:rsidR="00B536D8" w:rsidRPr="008C0CFB" w14:paraId="2EBC4BBE" w14:textId="77777777" w:rsidTr="00463D38">
        <w:tc>
          <w:tcPr>
            <w:tcW w:w="3681" w:type="dxa"/>
            <w:vMerge/>
          </w:tcPr>
          <w:p w14:paraId="1E8E07D3" w14:textId="77777777" w:rsidR="00B536D8" w:rsidRPr="008C0CFB" w:rsidRDefault="00B536D8" w:rsidP="00FB7C48">
            <w:pPr>
              <w:spacing w:after="0"/>
              <w:rPr>
                <w:rFonts w:ascii="Arial" w:hAnsi="Arial" w:cs="Arial"/>
                <w:bCs/>
              </w:rPr>
            </w:pPr>
            <w:bookmarkStart w:id="0" w:name="_Hlk159336786"/>
          </w:p>
        </w:tc>
        <w:tc>
          <w:tcPr>
            <w:tcW w:w="992" w:type="dxa"/>
            <w:vMerge/>
          </w:tcPr>
          <w:p w14:paraId="49CEF7F4" w14:textId="452EDEEB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</w:tcPr>
          <w:p w14:paraId="240B1E5D" w14:textId="01FCE60C" w:rsidR="00B536D8" w:rsidRPr="008C0CFB" w:rsidRDefault="00B536D8" w:rsidP="00FB7C48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541" w:type="dxa"/>
          </w:tcPr>
          <w:p w14:paraId="59989DA4" w14:textId="7288EF07" w:rsidR="00B536D8" w:rsidRPr="008C0CFB" w:rsidRDefault="0055395E" w:rsidP="0055395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[m</w:t>
            </w:r>
            <w:r w:rsidRPr="008C0CFB">
              <w:rPr>
                <w:rFonts w:ascii="Arial" w:hAnsi="Arial" w:cs="Arial"/>
                <w:bCs/>
                <w:vertAlign w:val="superscript"/>
              </w:rPr>
              <w:t>3</w:t>
            </w:r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147" w:type="dxa"/>
          </w:tcPr>
          <w:p w14:paraId="4EE47DD6" w14:textId="58F1B783" w:rsidR="00B536D8" w:rsidRPr="008C0CFB" w:rsidRDefault="0055395E" w:rsidP="0055395E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[GWh/a]</w:t>
            </w:r>
          </w:p>
        </w:tc>
      </w:tr>
      <w:bookmarkEnd w:id="0"/>
      <w:tr w:rsidR="0055395E" w:rsidRPr="008C0CFB" w14:paraId="32C8C892" w14:textId="77777777" w:rsidTr="00463D38">
        <w:tc>
          <w:tcPr>
            <w:tcW w:w="3681" w:type="dxa"/>
          </w:tcPr>
          <w:p w14:paraId="08B27911" w14:textId="16934B70" w:rsidR="00B536D8" w:rsidRPr="00005119" w:rsidRDefault="00005119" w:rsidP="00FB7C48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>
              <w:rPr>
                <w:rFonts w:ascii="Arial" w:hAnsi="Arial" w:cs="Arial"/>
                <w:bCs/>
                <w:lang w:val="fr-CH"/>
              </w:rPr>
              <w:t>Chauffages aux</w:t>
            </w:r>
            <w:r w:rsidRPr="00005119">
              <w:rPr>
                <w:rFonts w:ascii="Arial" w:hAnsi="Arial" w:cs="Arial"/>
                <w:bCs/>
                <w:lang w:val="fr-CH"/>
              </w:rPr>
              <w:t xml:space="preserve"> b</w:t>
            </w:r>
            <w:r>
              <w:rPr>
                <w:rFonts w:ascii="Arial" w:hAnsi="Arial" w:cs="Arial"/>
                <w:bCs/>
                <w:lang w:val="fr-CH"/>
              </w:rPr>
              <w:t>û</w:t>
            </w:r>
            <w:r w:rsidRPr="00005119">
              <w:rPr>
                <w:rFonts w:ascii="Arial" w:hAnsi="Arial" w:cs="Arial"/>
                <w:bCs/>
                <w:lang w:val="fr-CH"/>
              </w:rPr>
              <w:t>ches</w:t>
            </w:r>
            <w:r w:rsidR="00B536D8" w:rsidRPr="00005119">
              <w:rPr>
                <w:rFonts w:ascii="Arial" w:hAnsi="Arial" w:cs="Arial"/>
                <w:bCs/>
                <w:lang w:val="fr-CH"/>
              </w:rPr>
              <w:t xml:space="preserve"> (</w:t>
            </w:r>
            <w:r>
              <w:rPr>
                <w:rFonts w:ascii="Arial" w:hAnsi="Arial" w:cs="Arial"/>
                <w:bCs/>
                <w:lang w:val="fr-CH"/>
              </w:rPr>
              <w:t>poêles</w:t>
            </w:r>
            <w:r w:rsidR="00B536D8" w:rsidRPr="00005119">
              <w:rPr>
                <w:rFonts w:ascii="Arial" w:hAnsi="Arial" w:cs="Arial"/>
                <w:bCs/>
                <w:lang w:val="fr-CH"/>
              </w:rPr>
              <w:t xml:space="preserve">, </w:t>
            </w:r>
            <w:r>
              <w:rPr>
                <w:rFonts w:ascii="Arial" w:hAnsi="Arial" w:cs="Arial"/>
                <w:bCs/>
                <w:lang w:val="fr-CH"/>
              </w:rPr>
              <w:t>chaudières</w:t>
            </w:r>
            <w:r w:rsidR="00B536D8" w:rsidRPr="00005119">
              <w:rPr>
                <w:rFonts w:ascii="Arial" w:hAnsi="Arial" w:cs="Arial"/>
                <w:bCs/>
                <w:lang w:val="fr-CH"/>
              </w:rPr>
              <w:t>)</w:t>
            </w:r>
          </w:p>
        </w:tc>
        <w:tc>
          <w:tcPr>
            <w:tcW w:w="992" w:type="dxa"/>
          </w:tcPr>
          <w:p w14:paraId="49297367" w14:textId="452CE91F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199</w:t>
            </w:r>
            <w:r w:rsidR="00551334" w:rsidRPr="008C0CFB">
              <w:rPr>
                <w:rFonts w:ascii="Arial" w:hAnsi="Arial" w:cs="Arial"/>
                <w:bCs/>
              </w:rPr>
              <w:t>0</w:t>
            </w:r>
          </w:p>
          <w:p w14:paraId="41DB27C4" w14:textId="563D0ED5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701" w:type="dxa"/>
          </w:tcPr>
          <w:p w14:paraId="3E06C416" w14:textId="51CCB8E4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689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184 </w:t>
            </w:r>
          </w:p>
          <w:p w14:paraId="0F915296" w14:textId="316E74BB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466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971 </w:t>
            </w:r>
          </w:p>
        </w:tc>
        <w:tc>
          <w:tcPr>
            <w:tcW w:w="1541" w:type="dxa"/>
          </w:tcPr>
          <w:p w14:paraId="3E73D4B0" w14:textId="6BF77931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416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000 </w:t>
            </w:r>
          </w:p>
          <w:p w14:paraId="551A09CD" w14:textId="7D98F6D3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789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642 </w:t>
            </w:r>
          </w:p>
        </w:tc>
        <w:tc>
          <w:tcPr>
            <w:tcW w:w="1147" w:type="dxa"/>
          </w:tcPr>
          <w:p w14:paraId="0F168D5D" w14:textId="51921F14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6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596 </w:t>
            </w:r>
          </w:p>
          <w:p w14:paraId="62F6D7FC" w14:textId="337AA37B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156 </w:t>
            </w:r>
          </w:p>
        </w:tc>
      </w:tr>
      <w:tr w:rsidR="0055395E" w:rsidRPr="008C0CFB" w14:paraId="402E9B6D" w14:textId="77777777" w:rsidTr="00463D38">
        <w:tc>
          <w:tcPr>
            <w:tcW w:w="3681" w:type="dxa"/>
          </w:tcPr>
          <w:p w14:paraId="5BC363B3" w14:textId="79D98C25" w:rsidR="00B536D8" w:rsidRPr="008C0CFB" w:rsidRDefault="00005119" w:rsidP="00FB7C48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Chauffages à plaquettes</w:t>
            </w:r>
          </w:p>
        </w:tc>
        <w:tc>
          <w:tcPr>
            <w:tcW w:w="992" w:type="dxa"/>
          </w:tcPr>
          <w:p w14:paraId="7F6EE81A" w14:textId="5B034ECB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199</w:t>
            </w:r>
            <w:r w:rsidR="00551334" w:rsidRPr="008C0CFB">
              <w:rPr>
                <w:rFonts w:ascii="Arial" w:hAnsi="Arial" w:cs="Arial"/>
                <w:bCs/>
              </w:rPr>
              <w:t>0</w:t>
            </w:r>
          </w:p>
          <w:p w14:paraId="71D4C1FC" w14:textId="5CCB2EC5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701" w:type="dxa"/>
          </w:tcPr>
          <w:p w14:paraId="21215376" w14:textId="45704D20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286 </w:t>
            </w:r>
          </w:p>
          <w:p w14:paraId="0A22D956" w14:textId="18D97D8A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11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778 </w:t>
            </w:r>
          </w:p>
        </w:tc>
        <w:tc>
          <w:tcPr>
            <w:tcW w:w="1541" w:type="dxa"/>
          </w:tcPr>
          <w:p w14:paraId="1DA174F2" w14:textId="27A7A9CB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424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  <w:p w14:paraId="75F86439" w14:textId="2852287E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987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021 </w:t>
            </w:r>
          </w:p>
        </w:tc>
        <w:tc>
          <w:tcPr>
            <w:tcW w:w="1147" w:type="dxa"/>
          </w:tcPr>
          <w:p w14:paraId="0C282320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0</w:t>
            </w:r>
          </w:p>
          <w:p w14:paraId="5529D072" w14:textId="02DE1A62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957 </w:t>
            </w:r>
          </w:p>
        </w:tc>
      </w:tr>
      <w:tr w:rsidR="0055395E" w:rsidRPr="008C0CFB" w14:paraId="67017FAB" w14:textId="77777777" w:rsidTr="00463D38">
        <w:tc>
          <w:tcPr>
            <w:tcW w:w="3681" w:type="dxa"/>
          </w:tcPr>
          <w:p w14:paraId="570D81A8" w14:textId="3062A720" w:rsidR="00B536D8" w:rsidRPr="008C0CFB" w:rsidRDefault="00005119" w:rsidP="00FB7C48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Chauffages à pellets</w:t>
            </w:r>
          </w:p>
        </w:tc>
        <w:tc>
          <w:tcPr>
            <w:tcW w:w="992" w:type="dxa"/>
          </w:tcPr>
          <w:p w14:paraId="79CE292F" w14:textId="00F0DC85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199</w:t>
            </w:r>
            <w:r w:rsidR="00551334" w:rsidRPr="008C0CFB">
              <w:rPr>
                <w:rFonts w:ascii="Arial" w:hAnsi="Arial" w:cs="Arial"/>
                <w:bCs/>
              </w:rPr>
              <w:t>0</w:t>
            </w:r>
          </w:p>
          <w:p w14:paraId="3C33FACD" w14:textId="750EE64F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701" w:type="dxa"/>
          </w:tcPr>
          <w:p w14:paraId="090B9332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0</w:t>
            </w:r>
          </w:p>
          <w:p w14:paraId="31294C1C" w14:textId="67BC095F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31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724 </w:t>
            </w:r>
          </w:p>
        </w:tc>
        <w:tc>
          <w:tcPr>
            <w:tcW w:w="1541" w:type="dxa"/>
          </w:tcPr>
          <w:p w14:paraId="765A88AB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0</w:t>
            </w:r>
          </w:p>
          <w:p w14:paraId="1859AC82" w14:textId="024BDC73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716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726 </w:t>
            </w:r>
          </w:p>
        </w:tc>
        <w:tc>
          <w:tcPr>
            <w:tcW w:w="1147" w:type="dxa"/>
          </w:tcPr>
          <w:p w14:paraId="31A73EAF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0</w:t>
            </w:r>
          </w:p>
          <w:p w14:paraId="433BC501" w14:textId="2680F53B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294 </w:t>
            </w:r>
          </w:p>
        </w:tc>
      </w:tr>
      <w:tr w:rsidR="0055395E" w:rsidRPr="008C0CFB" w14:paraId="3C8DA61D" w14:textId="77777777" w:rsidTr="00463D38">
        <w:tc>
          <w:tcPr>
            <w:tcW w:w="3681" w:type="dxa"/>
          </w:tcPr>
          <w:p w14:paraId="3F8BA7D3" w14:textId="14EC93B6" w:rsidR="00B536D8" w:rsidRPr="00005119" w:rsidRDefault="00005119" w:rsidP="00FB7C48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005119">
              <w:rPr>
                <w:rFonts w:ascii="Arial" w:hAnsi="Arial" w:cs="Arial"/>
                <w:bCs/>
                <w:lang w:val="fr-CH"/>
              </w:rPr>
              <w:t xml:space="preserve">Couplage chaleur-force au bois </w:t>
            </w:r>
          </w:p>
        </w:tc>
        <w:tc>
          <w:tcPr>
            <w:tcW w:w="992" w:type="dxa"/>
          </w:tcPr>
          <w:p w14:paraId="57A656D0" w14:textId="7EBFB595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199</w:t>
            </w:r>
            <w:r w:rsidR="00551334" w:rsidRPr="008C0CFB">
              <w:rPr>
                <w:rFonts w:ascii="Arial" w:hAnsi="Arial" w:cs="Arial"/>
                <w:bCs/>
              </w:rPr>
              <w:t>0</w:t>
            </w:r>
          </w:p>
          <w:p w14:paraId="6BB22849" w14:textId="235D5BFB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701" w:type="dxa"/>
          </w:tcPr>
          <w:p w14:paraId="0214C6B3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0</w:t>
            </w:r>
          </w:p>
          <w:p w14:paraId="2CC0622C" w14:textId="1C9F19AE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 xml:space="preserve">33 </w:t>
            </w:r>
          </w:p>
        </w:tc>
        <w:tc>
          <w:tcPr>
            <w:tcW w:w="1541" w:type="dxa"/>
          </w:tcPr>
          <w:p w14:paraId="0234CCF6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0</w:t>
            </w:r>
          </w:p>
          <w:p w14:paraId="6B82E9F4" w14:textId="75D72E5C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840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1147" w:type="dxa"/>
          </w:tcPr>
          <w:p w14:paraId="6A2B94E1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 xml:space="preserve">478 </w:t>
            </w:r>
          </w:p>
          <w:p w14:paraId="185629C8" w14:textId="15816870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577 </w:t>
            </w:r>
          </w:p>
        </w:tc>
      </w:tr>
      <w:tr w:rsidR="0055395E" w:rsidRPr="008C0CFB" w14:paraId="38F0DFAF" w14:textId="77777777" w:rsidTr="00463D38">
        <w:tc>
          <w:tcPr>
            <w:tcW w:w="3681" w:type="dxa"/>
          </w:tcPr>
          <w:p w14:paraId="212A72D0" w14:textId="54B55705" w:rsidR="00B536D8" w:rsidRPr="00584683" w:rsidRDefault="00005119" w:rsidP="00FB7C48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84683">
              <w:rPr>
                <w:rFonts w:ascii="Arial" w:hAnsi="Arial" w:cs="Arial"/>
                <w:bCs/>
                <w:lang w:val="fr-CH"/>
              </w:rPr>
              <w:t>Chauffages au</w:t>
            </w:r>
            <w:r w:rsidR="00584683" w:rsidRPr="00584683">
              <w:rPr>
                <w:rFonts w:ascii="Arial" w:hAnsi="Arial" w:cs="Arial"/>
                <w:bCs/>
                <w:lang w:val="fr-CH"/>
              </w:rPr>
              <w:t xml:space="preserve"> </w:t>
            </w:r>
            <w:r w:rsidR="00533159">
              <w:rPr>
                <w:rFonts w:ascii="Arial" w:hAnsi="Arial" w:cs="Arial"/>
                <w:bCs/>
                <w:lang w:val="fr-CH"/>
              </w:rPr>
              <w:t>bois usagé</w:t>
            </w:r>
          </w:p>
        </w:tc>
        <w:tc>
          <w:tcPr>
            <w:tcW w:w="992" w:type="dxa"/>
          </w:tcPr>
          <w:p w14:paraId="4F9E6DAC" w14:textId="4E9153E2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199</w:t>
            </w:r>
            <w:r w:rsidR="00551334" w:rsidRPr="008C0CFB">
              <w:rPr>
                <w:rFonts w:ascii="Arial" w:hAnsi="Arial" w:cs="Arial"/>
                <w:bCs/>
              </w:rPr>
              <w:t>0</w:t>
            </w:r>
          </w:p>
          <w:p w14:paraId="74836BF4" w14:textId="0BE22FE3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701" w:type="dxa"/>
          </w:tcPr>
          <w:p w14:paraId="18C0ECEA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22</w:t>
            </w:r>
          </w:p>
          <w:p w14:paraId="70D15A09" w14:textId="08AAD428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76</w:t>
            </w:r>
          </w:p>
        </w:tc>
        <w:tc>
          <w:tcPr>
            <w:tcW w:w="1541" w:type="dxa"/>
          </w:tcPr>
          <w:p w14:paraId="5C637B13" w14:textId="39B5B8D9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175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000 </w:t>
            </w:r>
          </w:p>
          <w:p w14:paraId="2A7808C7" w14:textId="50610124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944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020 </w:t>
            </w:r>
          </w:p>
        </w:tc>
        <w:tc>
          <w:tcPr>
            <w:tcW w:w="1147" w:type="dxa"/>
          </w:tcPr>
          <w:p w14:paraId="541D7593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478</w:t>
            </w:r>
          </w:p>
          <w:p w14:paraId="59F5775C" w14:textId="30194B99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577 </w:t>
            </w:r>
          </w:p>
        </w:tc>
      </w:tr>
      <w:tr w:rsidR="0055395E" w:rsidRPr="008C0CFB" w14:paraId="6F486FB8" w14:textId="77777777" w:rsidTr="00463D38">
        <w:tc>
          <w:tcPr>
            <w:tcW w:w="3681" w:type="dxa"/>
          </w:tcPr>
          <w:p w14:paraId="0BC21F8F" w14:textId="38543DD5" w:rsidR="00B536D8" w:rsidRPr="00533159" w:rsidRDefault="00005119" w:rsidP="00FB7C48">
            <w:pPr>
              <w:spacing w:after="0"/>
              <w:rPr>
                <w:rFonts w:ascii="Arial" w:hAnsi="Arial" w:cs="Arial"/>
                <w:bCs/>
                <w:lang w:val="fr-CH"/>
              </w:rPr>
            </w:pPr>
            <w:r w:rsidRPr="00533159">
              <w:rPr>
                <w:rFonts w:ascii="Arial" w:hAnsi="Arial" w:cs="Arial"/>
                <w:bCs/>
                <w:lang w:val="fr-CH"/>
              </w:rPr>
              <w:t xml:space="preserve">Bois dans les </w:t>
            </w:r>
            <w:r w:rsidR="00463D38">
              <w:rPr>
                <w:rFonts w:ascii="Arial" w:hAnsi="Arial" w:cs="Arial"/>
                <w:bCs/>
                <w:lang w:val="fr-CH"/>
              </w:rPr>
              <w:t>UIOM</w:t>
            </w:r>
          </w:p>
        </w:tc>
        <w:tc>
          <w:tcPr>
            <w:tcW w:w="992" w:type="dxa"/>
          </w:tcPr>
          <w:p w14:paraId="7F53C71E" w14:textId="53C29D8E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199</w:t>
            </w:r>
            <w:r w:rsidR="00551334" w:rsidRPr="008C0CFB">
              <w:rPr>
                <w:rFonts w:ascii="Arial" w:hAnsi="Arial" w:cs="Arial"/>
                <w:bCs/>
              </w:rPr>
              <w:t>0</w:t>
            </w:r>
          </w:p>
          <w:p w14:paraId="31416267" w14:textId="4C0AB7D1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1701" w:type="dxa"/>
          </w:tcPr>
          <w:p w14:paraId="7FEF2837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26</w:t>
            </w:r>
          </w:p>
          <w:p w14:paraId="3468DEC3" w14:textId="75E31882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541" w:type="dxa"/>
          </w:tcPr>
          <w:p w14:paraId="16B1383A" w14:textId="6DFB94BE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235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500 </w:t>
            </w:r>
          </w:p>
          <w:p w14:paraId="3636B469" w14:textId="0364B941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222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362 </w:t>
            </w:r>
          </w:p>
        </w:tc>
        <w:tc>
          <w:tcPr>
            <w:tcW w:w="1147" w:type="dxa"/>
          </w:tcPr>
          <w:p w14:paraId="50586A25" w14:textId="77777777" w:rsidR="00B536D8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643</w:t>
            </w:r>
          </w:p>
          <w:p w14:paraId="6BB3E441" w14:textId="7446A86D" w:rsidR="0055395E" w:rsidRPr="008C0CFB" w:rsidRDefault="0055395E" w:rsidP="00B536D8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607</w:t>
            </w:r>
          </w:p>
        </w:tc>
      </w:tr>
      <w:tr w:rsidR="0055395E" w:rsidRPr="008C0CFB" w14:paraId="12B766C0" w14:textId="77777777" w:rsidTr="00463D38">
        <w:tc>
          <w:tcPr>
            <w:tcW w:w="3681" w:type="dxa"/>
          </w:tcPr>
          <w:p w14:paraId="48F2EB71" w14:textId="7C5CDC6B" w:rsidR="00B536D8" w:rsidRPr="008C0CFB" w:rsidRDefault="00B536D8" w:rsidP="00FB7C48">
            <w:pPr>
              <w:spacing w:after="0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2" w:type="dxa"/>
          </w:tcPr>
          <w:p w14:paraId="523AB8BF" w14:textId="1E05336A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199</w:t>
            </w:r>
            <w:r w:rsidR="00551334" w:rsidRPr="008C0CFB">
              <w:rPr>
                <w:rFonts w:ascii="Arial" w:hAnsi="Arial" w:cs="Arial"/>
                <w:b/>
              </w:rPr>
              <w:t>0</w:t>
            </w:r>
          </w:p>
          <w:p w14:paraId="2A3F22CC" w14:textId="31CE5FD7" w:rsidR="00B536D8" w:rsidRPr="008C0CFB" w:rsidRDefault="00B536D8" w:rsidP="00B536D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701" w:type="dxa"/>
          </w:tcPr>
          <w:p w14:paraId="6BF33AF8" w14:textId="2A7929CF" w:rsidR="00B536D8" w:rsidRPr="008C0CFB" w:rsidRDefault="00B536D8" w:rsidP="00B536D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692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518 </w:t>
            </w:r>
          </w:p>
          <w:p w14:paraId="5326B04B" w14:textId="430C1748" w:rsidR="00B536D8" w:rsidRPr="008C0CFB" w:rsidRDefault="00B536D8" w:rsidP="00B536D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510</w:t>
            </w:r>
            <w:r w:rsidR="0000511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611 </w:t>
            </w:r>
          </w:p>
        </w:tc>
        <w:tc>
          <w:tcPr>
            <w:tcW w:w="1541" w:type="dxa"/>
          </w:tcPr>
          <w:p w14:paraId="11F8DDD2" w14:textId="15013731" w:rsidR="00B536D8" w:rsidRPr="008C0CFB" w:rsidRDefault="00B536D8" w:rsidP="00B536D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3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250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800 </w:t>
            </w:r>
          </w:p>
          <w:p w14:paraId="0E461254" w14:textId="08F2DD74" w:rsidR="00B536D8" w:rsidRPr="008C0CFB" w:rsidRDefault="00B536D8" w:rsidP="00B536D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5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500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071 </w:t>
            </w:r>
          </w:p>
        </w:tc>
        <w:tc>
          <w:tcPr>
            <w:tcW w:w="1147" w:type="dxa"/>
          </w:tcPr>
          <w:p w14:paraId="596BD15F" w14:textId="0E77F75D" w:rsidR="00B536D8" w:rsidRPr="008C0CFB" w:rsidRDefault="00B536D8" w:rsidP="00B536D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8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875 </w:t>
            </w:r>
          </w:p>
          <w:p w14:paraId="3139D544" w14:textId="0C5E96AE" w:rsidR="00B536D8" w:rsidRPr="008C0CFB" w:rsidRDefault="00B536D8" w:rsidP="00B536D8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15</w:t>
            </w:r>
            <w:r w:rsidR="00584683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015 </w:t>
            </w:r>
          </w:p>
        </w:tc>
      </w:tr>
    </w:tbl>
    <w:p w14:paraId="3DF99413" w14:textId="7D41EFB8" w:rsidR="00B536D8" w:rsidRPr="0058123E" w:rsidRDefault="00584683" w:rsidP="00FB7C48">
      <w:pPr>
        <w:spacing w:after="0"/>
        <w:rPr>
          <w:rFonts w:ascii="Arial" w:hAnsi="Arial" w:cs="Arial"/>
          <w:bCs/>
          <w:lang w:val="fr-CH"/>
        </w:rPr>
      </w:pPr>
      <w:r w:rsidRPr="00584683">
        <w:rPr>
          <w:rFonts w:ascii="Arial" w:hAnsi="Arial" w:cs="Arial"/>
          <w:color w:val="161616"/>
          <w:sz w:val="15"/>
          <w:szCs w:val="15"/>
          <w:lang w:val="fr-CH"/>
        </w:rPr>
        <w:t>Office fédéral de l’énergie OFEN:</w:t>
      </w:r>
      <w:r w:rsidR="0055395E" w:rsidRPr="00584683">
        <w:rPr>
          <w:rFonts w:ascii="Arial" w:hAnsi="Arial" w:cs="Arial"/>
          <w:color w:val="161616"/>
          <w:sz w:val="15"/>
          <w:szCs w:val="15"/>
          <w:lang w:val="fr-CH"/>
        </w:rPr>
        <w:t xml:space="preserve"> </w:t>
      </w:r>
      <w:r w:rsidRPr="00584683">
        <w:rPr>
          <w:rFonts w:ascii="Arial" w:hAnsi="Arial" w:cs="Arial"/>
          <w:color w:val="161616"/>
          <w:sz w:val="15"/>
          <w:szCs w:val="15"/>
          <w:lang w:val="fr-CH"/>
        </w:rPr>
        <w:t xml:space="preserve">Statistique </w:t>
      </w:r>
      <w:r w:rsidRPr="00584683">
        <w:rPr>
          <w:rFonts w:ascii="Arial" w:hAnsi="Arial" w:cs="Arial"/>
          <w:bCs/>
          <w:color w:val="161616"/>
          <w:sz w:val="15"/>
          <w:szCs w:val="15"/>
          <w:lang w:val="fr-CH"/>
        </w:rPr>
        <w:t>de l’énergie du bois</w:t>
      </w:r>
      <w:r w:rsidR="0055395E" w:rsidRPr="00584683">
        <w:rPr>
          <w:rFonts w:ascii="Arial" w:hAnsi="Arial" w:cs="Arial"/>
          <w:color w:val="161616"/>
          <w:sz w:val="15"/>
          <w:szCs w:val="15"/>
          <w:lang w:val="fr-CH"/>
        </w:rPr>
        <w:t xml:space="preserve"> 2022, </w:t>
      </w:r>
      <w:r w:rsidR="002433B9">
        <w:rPr>
          <w:rFonts w:ascii="Arial" w:hAnsi="Arial" w:cs="Arial"/>
          <w:color w:val="161616"/>
          <w:sz w:val="15"/>
          <w:szCs w:val="15"/>
          <w:lang w:val="fr-CH"/>
        </w:rPr>
        <w:t xml:space="preserve">données </w:t>
      </w:r>
      <w:r>
        <w:rPr>
          <w:rFonts w:ascii="Arial" w:hAnsi="Arial" w:cs="Arial"/>
          <w:color w:val="161616"/>
          <w:sz w:val="15"/>
          <w:szCs w:val="15"/>
          <w:lang w:val="fr-CH"/>
        </w:rPr>
        <w:t>adapt</w:t>
      </w:r>
      <w:r w:rsidR="002433B9">
        <w:rPr>
          <w:rFonts w:ascii="Arial" w:hAnsi="Arial" w:cs="Arial"/>
          <w:color w:val="161616"/>
          <w:sz w:val="15"/>
          <w:szCs w:val="15"/>
          <w:lang w:val="fr-CH"/>
        </w:rPr>
        <w:t>ées</w:t>
      </w:r>
      <w:r w:rsidR="0055395E" w:rsidRPr="00584683">
        <w:rPr>
          <w:rFonts w:ascii="Arial" w:hAnsi="Arial" w:cs="Arial"/>
          <w:color w:val="161616"/>
          <w:sz w:val="15"/>
          <w:szCs w:val="15"/>
          <w:lang w:val="fr-CH"/>
        </w:rPr>
        <w:t xml:space="preserve">. </w:t>
      </w:r>
      <w:r w:rsidRPr="0058123E">
        <w:rPr>
          <w:rFonts w:ascii="Arial" w:hAnsi="Arial" w:cs="Arial"/>
          <w:color w:val="161616"/>
          <w:sz w:val="15"/>
          <w:szCs w:val="15"/>
          <w:lang w:val="fr-CH"/>
        </w:rPr>
        <w:t>Conversion:</w:t>
      </w:r>
      <w:r w:rsidR="0055395E" w:rsidRPr="0058123E">
        <w:rPr>
          <w:rFonts w:ascii="Arial" w:hAnsi="Arial" w:cs="Arial"/>
          <w:color w:val="161616"/>
          <w:sz w:val="15"/>
          <w:szCs w:val="15"/>
          <w:lang w:val="fr-CH"/>
        </w:rPr>
        <w:t xml:space="preserve"> 1 m</w:t>
      </w:r>
      <w:r w:rsidR="0055395E" w:rsidRPr="0058123E">
        <w:rPr>
          <w:rFonts w:ascii="Arial" w:hAnsi="Arial" w:cs="Arial"/>
          <w:color w:val="161616"/>
          <w:sz w:val="15"/>
          <w:szCs w:val="15"/>
          <w:vertAlign w:val="superscript"/>
          <w:lang w:val="fr-CH"/>
        </w:rPr>
        <w:t>3</w:t>
      </w:r>
      <w:r w:rsidR="0055395E" w:rsidRPr="0058123E">
        <w:rPr>
          <w:rFonts w:ascii="Arial" w:hAnsi="Arial" w:cs="Arial"/>
          <w:color w:val="161616"/>
          <w:sz w:val="10"/>
          <w:szCs w:val="10"/>
          <w:lang w:val="fr-CH"/>
        </w:rPr>
        <w:t xml:space="preserve"> </w:t>
      </w:r>
      <w:r w:rsidR="0055395E" w:rsidRPr="0058123E">
        <w:rPr>
          <w:rFonts w:ascii="Arial" w:hAnsi="Arial" w:cs="Arial"/>
          <w:color w:val="161616"/>
          <w:sz w:val="15"/>
          <w:szCs w:val="15"/>
          <w:lang w:val="fr-CH"/>
        </w:rPr>
        <w:t>= 2</w:t>
      </w:r>
      <w:r w:rsidRPr="0058123E">
        <w:rPr>
          <w:rFonts w:ascii="Arial" w:hAnsi="Arial" w:cs="Arial"/>
          <w:color w:val="161616"/>
          <w:sz w:val="15"/>
          <w:szCs w:val="15"/>
          <w:lang w:val="fr-CH"/>
        </w:rPr>
        <w:t>,</w:t>
      </w:r>
      <w:r w:rsidR="0055395E" w:rsidRPr="0058123E">
        <w:rPr>
          <w:rFonts w:ascii="Arial" w:hAnsi="Arial" w:cs="Arial"/>
          <w:color w:val="161616"/>
          <w:sz w:val="15"/>
          <w:szCs w:val="15"/>
          <w:lang w:val="fr-CH"/>
        </w:rPr>
        <w:t>73 MWh</w:t>
      </w:r>
    </w:p>
    <w:p w14:paraId="09B41A9A" w14:textId="77777777" w:rsidR="0055395E" w:rsidRPr="0058123E" w:rsidRDefault="0055395E" w:rsidP="00FB7C48">
      <w:pPr>
        <w:spacing w:after="0"/>
        <w:rPr>
          <w:rFonts w:ascii="Arial" w:hAnsi="Arial" w:cs="Arial"/>
          <w:b/>
          <w:lang w:val="fr-CH"/>
        </w:rPr>
      </w:pPr>
    </w:p>
    <w:p w14:paraId="35365C5A" w14:textId="6251DF00" w:rsidR="00021F94" w:rsidRPr="00584683" w:rsidRDefault="00584683" w:rsidP="00FB7C48">
      <w:pPr>
        <w:spacing w:after="0"/>
        <w:rPr>
          <w:rFonts w:ascii="Arial" w:hAnsi="Arial" w:cs="Arial"/>
          <w:bCs/>
          <w:lang w:val="fr-CH"/>
        </w:rPr>
      </w:pPr>
      <w:r w:rsidRPr="00584683">
        <w:rPr>
          <w:rFonts w:ascii="Arial" w:hAnsi="Arial" w:cs="Arial"/>
          <w:bCs/>
          <w:lang w:val="fr-CH"/>
        </w:rPr>
        <w:t xml:space="preserve">La consommation actuelle peut être estimée avec une certaine précision, car </w:t>
      </w:r>
      <w:r w:rsidR="002433B9">
        <w:rPr>
          <w:rFonts w:ascii="Arial" w:hAnsi="Arial" w:cs="Arial"/>
          <w:bCs/>
          <w:lang w:val="fr-CH"/>
        </w:rPr>
        <w:t>la plausibili</w:t>
      </w:r>
      <w:r w:rsidR="008A26AB">
        <w:rPr>
          <w:rFonts w:ascii="Arial" w:hAnsi="Arial" w:cs="Arial"/>
          <w:bCs/>
          <w:lang w:val="fr-CH"/>
        </w:rPr>
        <w:t xml:space="preserve">té </w:t>
      </w:r>
      <w:r w:rsidR="002433B9">
        <w:rPr>
          <w:rFonts w:ascii="Arial" w:hAnsi="Arial" w:cs="Arial"/>
          <w:bCs/>
          <w:lang w:val="fr-CH"/>
        </w:rPr>
        <w:t>d</w:t>
      </w:r>
      <w:r w:rsidRPr="00584683">
        <w:rPr>
          <w:rFonts w:ascii="Arial" w:hAnsi="Arial" w:cs="Arial"/>
          <w:bCs/>
          <w:lang w:val="fr-CH"/>
        </w:rPr>
        <w:t>es statistiques à disposition (statistique de l’énergie du bois, statistique forestière, statistique d</w:t>
      </w:r>
      <w:r w:rsidR="008A26AB">
        <w:rPr>
          <w:rFonts w:ascii="Arial" w:hAnsi="Arial" w:cs="Arial"/>
          <w:bCs/>
          <w:lang w:val="fr-CH"/>
        </w:rPr>
        <w:t>u bois usagé</w:t>
      </w:r>
      <w:r w:rsidR="00021F94" w:rsidRPr="00584683">
        <w:rPr>
          <w:rFonts w:ascii="Arial" w:hAnsi="Arial" w:cs="Arial"/>
          <w:bCs/>
          <w:lang w:val="fr-CH"/>
        </w:rPr>
        <w:t xml:space="preserve">) </w:t>
      </w:r>
      <w:r w:rsidR="008A26AB">
        <w:rPr>
          <w:rFonts w:ascii="Arial" w:hAnsi="Arial" w:cs="Arial"/>
          <w:bCs/>
          <w:lang w:val="fr-CH"/>
        </w:rPr>
        <w:t>est</w:t>
      </w:r>
      <w:r>
        <w:rPr>
          <w:rFonts w:ascii="Arial" w:hAnsi="Arial" w:cs="Arial"/>
          <w:bCs/>
          <w:lang w:val="fr-CH"/>
        </w:rPr>
        <w:t xml:space="preserve"> relativement </w:t>
      </w:r>
      <w:r w:rsidR="008A26AB">
        <w:rPr>
          <w:rFonts w:ascii="Arial" w:hAnsi="Arial" w:cs="Arial"/>
          <w:bCs/>
          <w:lang w:val="fr-CH"/>
        </w:rPr>
        <w:t>bien vérifiable</w:t>
      </w:r>
      <w:r w:rsidR="00021F94" w:rsidRPr="00584683">
        <w:rPr>
          <w:rFonts w:ascii="Arial" w:hAnsi="Arial" w:cs="Arial"/>
          <w:bCs/>
          <w:lang w:val="fr-CH"/>
        </w:rPr>
        <w:t xml:space="preserve">. </w:t>
      </w:r>
      <w:r w:rsidRPr="00584683">
        <w:rPr>
          <w:rFonts w:ascii="Arial" w:hAnsi="Arial" w:cs="Arial"/>
          <w:bCs/>
          <w:lang w:val="fr-CH"/>
        </w:rPr>
        <w:t xml:space="preserve">Cependant, la </w:t>
      </w:r>
      <w:r w:rsidR="008A26AB">
        <w:rPr>
          <w:rFonts w:ascii="Arial" w:hAnsi="Arial" w:cs="Arial"/>
          <w:bCs/>
          <w:lang w:val="fr-CH"/>
        </w:rPr>
        <w:t>S</w:t>
      </w:r>
      <w:r w:rsidRPr="00584683">
        <w:rPr>
          <w:rFonts w:ascii="Arial" w:hAnsi="Arial" w:cs="Arial"/>
          <w:bCs/>
          <w:lang w:val="fr-CH"/>
        </w:rPr>
        <w:t xml:space="preserve">tatistique de l’énergie du bois surestime la consommation de bois </w:t>
      </w:r>
      <w:r w:rsidR="008A26AB">
        <w:rPr>
          <w:rFonts w:ascii="Arial" w:hAnsi="Arial" w:cs="Arial"/>
          <w:bCs/>
          <w:lang w:val="fr-CH"/>
        </w:rPr>
        <w:t>pour</w:t>
      </w:r>
      <w:r w:rsidRPr="00584683">
        <w:rPr>
          <w:rFonts w:ascii="Arial" w:hAnsi="Arial" w:cs="Arial"/>
          <w:bCs/>
          <w:lang w:val="fr-CH"/>
        </w:rPr>
        <w:t xml:space="preserve"> les po</w:t>
      </w:r>
      <w:r>
        <w:rPr>
          <w:rFonts w:ascii="Arial" w:hAnsi="Arial" w:cs="Arial"/>
          <w:bCs/>
          <w:lang w:val="fr-CH"/>
        </w:rPr>
        <w:t xml:space="preserve">êles d’habitat et </w:t>
      </w:r>
      <w:r w:rsidR="008A26AB">
        <w:rPr>
          <w:rFonts w:ascii="Arial" w:hAnsi="Arial" w:cs="Arial"/>
          <w:bCs/>
          <w:lang w:val="fr-CH"/>
        </w:rPr>
        <w:t xml:space="preserve">les </w:t>
      </w:r>
      <w:r>
        <w:rPr>
          <w:rFonts w:ascii="Arial" w:hAnsi="Arial" w:cs="Arial"/>
          <w:bCs/>
          <w:lang w:val="fr-CH"/>
        </w:rPr>
        <w:t xml:space="preserve">chauffages </w:t>
      </w:r>
      <w:r w:rsidR="008A26AB">
        <w:rPr>
          <w:rFonts w:ascii="Arial" w:hAnsi="Arial" w:cs="Arial"/>
          <w:bCs/>
          <w:lang w:val="fr-CH"/>
        </w:rPr>
        <w:t xml:space="preserve">au </w:t>
      </w:r>
      <w:r>
        <w:rPr>
          <w:rFonts w:ascii="Arial" w:hAnsi="Arial" w:cs="Arial"/>
          <w:bCs/>
          <w:lang w:val="fr-CH"/>
        </w:rPr>
        <w:t>bois</w:t>
      </w:r>
      <w:r w:rsidR="008A26AB">
        <w:rPr>
          <w:rFonts w:ascii="Arial" w:hAnsi="Arial" w:cs="Arial"/>
          <w:bCs/>
          <w:lang w:val="fr-CH"/>
        </w:rPr>
        <w:t xml:space="preserve"> usagé</w:t>
      </w:r>
      <w:r>
        <w:rPr>
          <w:rFonts w:ascii="Arial" w:hAnsi="Arial" w:cs="Arial"/>
          <w:bCs/>
          <w:lang w:val="fr-CH"/>
        </w:rPr>
        <w:t>; celle-ci a donc été adaptée.</w:t>
      </w:r>
    </w:p>
    <w:p w14:paraId="79EB61B2" w14:textId="77777777" w:rsidR="00021F94" w:rsidRPr="00584683" w:rsidRDefault="00021F94" w:rsidP="00FB7C48">
      <w:pPr>
        <w:spacing w:after="0"/>
        <w:rPr>
          <w:rFonts w:ascii="Arial" w:hAnsi="Arial" w:cs="Arial"/>
          <w:bCs/>
          <w:lang w:val="fr-CH"/>
        </w:rPr>
      </w:pPr>
    </w:p>
    <w:p w14:paraId="0222D546" w14:textId="79E4E8F9" w:rsidR="0015233D" w:rsidRPr="00584683" w:rsidRDefault="00584683" w:rsidP="00FB7C48">
      <w:pPr>
        <w:spacing w:after="0"/>
        <w:rPr>
          <w:rFonts w:ascii="Arial" w:hAnsi="Arial" w:cs="Arial"/>
          <w:b/>
          <w:lang w:val="fr-CH"/>
        </w:rPr>
      </w:pPr>
      <w:r w:rsidRPr="00584683">
        <w:rPr>
          <w:rFonts w:ascii="Arial" w:hAnsi="Arial" w:cs="Arial"/>
          <w:b/>
          <w:lang w:val="fr-CH"/>
        </w:rPr>
        <w:t>De combien de bois-énergie supplémentaire disposons-nous</w:t>
      </w:r>
      <w:r w:rsidR="0055395E" w:rsidRPr="00584683">
        <w:rPr>
          <w:rFonts w:ascii="Arial" w:hAnsi="Arial" w:cs="Arial"/>
          <w:b/>
          <w:lang w:val="fr-CH"/>
        </w:rPr>
        <w:t>?</w:t>
      </w:r>
    </w:p>
    <w:p w14:paraId="2C842E3C" w14:textId="77777777" w:rsidR="0055395E" w:rsidRPr="00584683" w:rsidRDefault="0055395E" w:rsidP="00FB7C48">
      <w:pPr>
        <w:spacing w:after="0"/>
        <w:rPr>
          <w:rFonts w:ascii="Arial" w:hAnsi="Arial" w:cs="Arial"/>
          <w:bCs/>
          <w:lang w:val="fr-CH"/>
        </w:rPr>
      </w:pPr>
    </w:p>
    <w:p w14:paraId="70DC18D8" w14:textId="28DACD55" w:rsidR="00B40AB9" w:rsidRPr="00533159" w:rsidRDefault="00584683" w:rsidP="00FB7C48">
      <w:pPr>
        <w:spacing w:after="0"/>
        <w:rPr>
          <w:rFonts w:ascii="Arial" w:hAnsi="Arial" w:cs="Arial"/>
          <w:bCs/>
          <w:lang w:val="fr-CH"/>
        </w:rPr>
      </w:pPr>
      <w:r w:rsidRPr="00533159">
        <w:rPr>
          <w:rFonts w:ascii="Arial" w:hAnsi="Arial" w:cs="Arial"/>
          <w:bCs/>
          <w:lang w:val="fr-CH"/>
        </w:rPr>
        <w:t>Le potentiel n’est pas une valeur fixe</w:t>
      </w:r>
      <w:r w:rsidR="00533159" w:rsidRPr="00533159">
        <w:rPr>
          <w:rFonts w:ascii="Arial" w:hAnsi="Arial" w:cs="Arial"/>
          <w:bCs/>
          <w:lang w:val="fr-CH"/>
        </w:rPr>
        <w:t>; il peut varier en fonction des conditions économiques et</w:t>
      </w:r>
      <w:r w:rsidR="00533159">
        <w:rPr>
          <w:rFonts w:ascii="Arial" w:hAnsi="Arial" w:cs="Arial"/>
          <w:bCs/>
          <w:lang w:val="fr-CH"/>
        </w:rPr>
        <w:t xml:space="preserve"> politiques. </w:t>
      </w:r>
      <w:r w:rsidR="00533159" w:rsidRPr="0058123E">
        <w:rPr>
          <w:rFonts w:ascii="Arial" w:hAnsi="Arial" w:cs="Arial"/>
          <w:bCs/>
          <w:lang w:val="fr-CH"/>
        </w:rPr>
        <w:t xml:space="preserve">Plus les prix </w:t>
      </w:r>
      <w:r w:rsidR="008A26AB">
        <w:rPr>
          <w:rFonts w:ascii="Arial" w:hAnsi="Arial" w:cs="Arial"/>
          <w:bCs/>
          <w:lang w:val="fr-CH"/>
        </w:rPr>
        <w:t>augmentent</w:t>
      </w:r>
      <w:r w:rsidR="00533159" w:rsidRPr="0058123E">
        <w:rPr>
          <w:rFonts w:ascii="Arial" w:hAnsi="Arial" w:cs="Arial"/>
          <w:bCs/>
          <w:lang w:val="fr-CH"/>
        </w:rPr>
        <w:t xml:space="preserve">, plus l’offre </w:t>
      </w:r>
      <w:r w:rsidR="008A26AB">
        <w:rPr>
          <w:rFonts w:ascii="Arial" w:hAnsi="Arial" w:cs="Arial"/>
          <w:bCs/>
          <w:lang w:val="fr-CH"/>
        </w:rPr>
        <w:t>s’accroît</w:t>
      </w:r>
      <w:r w:rsidR="00533159" w:rsidRPr="0058123E">
        <w:rPr>
          <w:rFonts w:ascii="Arial" w:hAnsi="Arial" w:cs="Arial"/>
          <w:bCs/>
          <w:lang w:val="fr-CH"/>
        </w:rPr>
        <w:t>.</w:t>
      </w:r>
      <w:r w:rsidR="00B40AB9" w:rsidRPr="0058123E">
        <w:rPr>
          <w:rFonts w:ascii="Arial" w:hAnsi="Arial" w:cs="Arial"/>
          <w:bCs/>
          <w:lang w:val="fr-CH"/>
        </w:rPr>
        <w:t xml:space="preserve"> </w:t>
      </w:r>
      <w:r w:rsidR="008A26AB">
        <w:rPr>
          <w:rFonts w:ascii="Arial" w:hAnsi="Arial" w:cs="Arial"/>
          <w:bCs/>
          <w:lang w:val="fr-CH"/>
        </w:rPr>
        <w:t>Près de</w:t>
      </w:r>
      <w:r w:rsidR="00F8242D" w:rsidRPr="00533159">
        <w:rPr>
          <w:rFonts w:ascii="Arial" w:hAnsi="Arial" w:cs="Arial"/>
          <w:bCs/>
          <w:lang w:val="fr-CH"/>
        </w:rPr>
        <w:t xml:space="preserve"> 245</w:t>
      </w:r>
      <w:r w:rsidR="00533159" w:rsidRPr="00533159">
        <w:rPr>
          <w:rFonts w:ascii="Arial" w:hAnsi="Arial" w:cs="Arial"/>
          <w:bCs/>
          <w:lang w:val="fr-CH"/>
        </w:rPr>
        <w:t> </w:t>
      </w:r>
      <w:r w:rsidR="00F8242D" w:rsidRPr="00533159">
        <w:rPr>
          <w:rFonts w:ascii="Arial" w:hAnsi="Arial" w:cs="Arial"/>
          <w:bCs/>
          <w:lang w:val="fr-CH"/>
        </w:rPr>
        <w:t>000</w:t>
      </w:r>
      <w:r w:rsidR="00533159" w:rsidRPr="00533159">
        <w:rPr>
          <w:rFonts w:ascii="Arial" w:hAnsi="Arial" w:cs="Arial"/>
          <w:bCs/>
          <w:lang w:val="fr-CH"/>
        </w:rPr>
        <w:t> propriétaires forestiers</w:t>
      </w:r>
      <w:r w:rsidR="008A26AB">
        <w:rPr>
          <w:rFonts w:ascii="Arial" w:hAnsi="Arial" w:cs="Arial"/>
          <w:bCs/>
          <w:lang w:val="fr-CH"/>
        </w:rPr>
        <w:t xml:space="preserve"> suisses</w:t>
      </w:r>
      <w:r w:rsidR="00533159" w:rsidRPr="00533159">
        <w:rPr>
          <w:rFonts w:ascii="Arial" w:hAnsi="Arial" w:cs="Arial"/>
          <w:bCs/>
          <w:lang w:val="fr-CH"/>
        </w:rPr>
        <w:t xml:space="preserve"> </w:t>
      </w:r>
      <w:r w:rsidR="008A26AB">
        <w:rPr>
          <w:rFonts w:ascii="Arial" w:hAnsi="Arial" w:cs="Arial"/>
          <w:bCs/>
          <w:lang w:val="fr-CH"/>
        </w:rPr>
        <w:t>privilégient</w:t>
      </w:r>
      <w:r w:rsidR="00533159" w:rsidRPr="00533159">
        <w:rPr>
          <w:rFonts w:ascii="Arial" w:hAnsi="Arial" w:cs="Arial"/>
          <w:bCs/>
          <w:lang w:val="fr-CH"/>
        </w:rPr>
        <w:t xml:space="preserve"> les assortiments </w:t>
      </w:r>
      <w:r w:rsidR="008A26AB">
        <w:rPr>
          <w:rFonts w:ascii="Arial" w:hAnsi="Arial" w:cs="Arial"/>
          <w:bCs/>
          <w:lang w:val="fr-CH"/>
        </w:rPr>
        <w:t>qu’ils peuvent vendre à un prix intéressant.</w:t>
      </w:r>
      <w:r w:rsidR="00533159">
        <w:rPr>
          <w:rFonts w:ascii="Arial" w:hAnsi="Arial" w:cs="Arial"/>
          <w:bCs/>
          <w:lang w:val="fr-CH"/>
        </w:rPr>
        <w:t xml:space="preserve"> </w:t>
      </w:r>
      <w:r w:rsidR="00533159" w:rsidRPr="00533159">
        <w:rPr>
          <w:rFonts w:ascii="Arial" w:hAnsi="Arial" w:cs="Arial"/>
          <w:bCs/>
          <w:lang w:val="fr-CH"/>
        </w:rPr>
        <w:t>Ce</w:t>
      </w:r>
      <w:r w:rsidR="008A26AB">
        <w:rPr>
          <w:rFonts w:ascii="Arial" w:hAnsi="Arial" w:cs="Arial"/>
          <w:bCs/>
          <w:lang w:val="fr-CH"/>
        </w:rPr>
        <w:t>ci</w:t>
      </w:r>
      <w:r w:rsidR="00533159" w:rsidRPr="00533159">
        <w:rPr>
          <w:rFonts w:ascii="Arial" w:hAnsi="Arial" w:cs="Arial"/>
          <w:bCs/>
          <w:lang w:val="fr-CH"/>
        </w:rPr>
        <w:t xml:space="preserve"> </w:t>
      </w:r>
      <w:r w:rsidR="008A26AB">
        <w:rPr>
          <w:rFonts w:ascii="Arial" w:hAnsi="Arial" w:cs="Arial"/>
          <w:bCs/>
          <w:lang w:val="fr-CH"/>
        </w:rPr>
        <w:t>s’observe pour le</w:t>
      </w:r>
      <w:r w:rsidR="00533159" w:rsidRPr="00533159">
        <w:rPr>
          <w:rFonts w:ascii="Arial" w:hAnsi="Arial" w:cs="Arial"/>
          <w:bCs/>
          <w:lang w:val="fr-CH"/>
        </w:rPr>
        <w:t xml:space="preserve"> bois-énergie</w:t>
      </w:r>
      <w:r w:rsidR="008A26AB">
        <w:rPr>
          <w:rFonts w:ascii="Arial" w:hAnsi="Arial" w:cs="Arial"/>
          <w:bCs/>
          <w:lang w:val="fr-CH"/>
        </w:rPr>
        <w:t xml:space="preserve"> surtout</w:t>
      </w:r>
      <w:r w:rsidR="00533159" w:rsidRPr="00533159">
        <w:rPr>
          <w:rFonts w:ascii="Arial" w:hAnsi="Arial" w:cs="Arial"/>
          <w:bCs/>
          <w:lang w:val="fr-CH"/>
        </w:rPr>
        <w:t xml:space="preserve">, </w:t>
      </w:r>
      <w:r w:rsidR="008A26AB">
        <w:rPr>
          <w:rFonts w:ascii="Arial" w:hAnsi="Arial" w:cs="Arial"/>
          <w:bCs/>
          <w:lang w:val="fr-CH"/>
        </w:rPr>
        <w:t>s’applique à un moindre degré</w:t>
      </w:r>
      <w:r w:rsidR="00533159" w:rsidRPr="00533159">
        <w:rPr>
          <w:rFonts w:ascii="Arial" w:hAnsi="Arial" w:cs="Arial"/>
          <w:bCs/>
          <w:lang w:val="fr-CH"/>
        </w:rPr>
        <w:t xml:space="preserve"> pour le bois en grumes </w:t>
      </w:r>
      <w:r w:rsidR="00533159">
        <w:rPr>
          <w:rFonts w:ascii="Arial" w:hAnsi="Arial" w:cs="Arial"/>
          <w:bCs/>
          <w:lang w:val="fr-CH"/>
        </w:rPr>
        <w:t>destiné aux</w:t>
      </w:r>
      <w:r w:rsidR="00533159" w:rsidRPr="00533159">
        <w:rPr>
          <w:rFonts w:ascii="Arial" w:hAnsi="Arial" w:cs="Arial"/>
          <w:bCs/>
          <w:lang w:val="fr-CH"/>
        </w:rPr>
        <w:t xml:space="preserve"> scieries et encore </w:t>
      </w:r>
      <w:r w:rsidR="008A26AB">
        <w:rPr>
          <w:rFonts w:ascii="Arial" w:hAnsi="Arial" w:cs="Arial"/>
          <w:bCs/>
          <w:lang w:val="fr-CH"/>
        </w:rPr>
        <w:t>nettement</w:t>
      </w:r>
      <w:r w:rsidR="00533159">
        <w:rPr>
          <w:rFonts w:ascii="Arial" w:hAnsi="Arial" w:cs="Arial"/>
          <w:bCs/>
          <w:lang w:val="fr-CH"/>
        </w:rPr>
        <w:t xml:space="preserve"> moins pour le bois industriel.</w:t>
      </w:r>
      <w:r w:rsidR="00F8242D" w:rsidRPr="00533159">
        <w:rPr>
          <w:rFonts w:ascii="Arial" w:hAnsi="Arial" w:cs="Arial"/>
          <w:bCs/>
          <w:lang w:val="fr-CH"/>
        </w:rPr>
        <w:t xml:space="preserve"> </w:t>
      </w:r>
      <w:r w:rsidR="008A26AB">
        <w:rPr>
          <w:rFonts w:ascii="Arial" w:hAnsi="Arial" w:cs="Arial"/>
          <w:bCs/>
          <w:lang w:val="fr-CH"/>
        </w:rPr>
        <w:t>E</w:t>
      </w:r>
      <w:r w:rsidR="008A26AB" w:rsidRPr="00533159">
        <w:rPr>
          <w:rFonts w:ascii="Arial" w:hAnsi="Arial" w:cs="Arial"/>
          <w:bCs/>
          <w:lang w:val="fr-CH"/>
        </w:rPr>
        <w:t>ntre 1990 et 2022</w:t>
      </w:r>
      <w:r w:rsidR="008A26AB">
        <w:rPr>
          <w:rFonts w:ascii="Arial" w:hAnsi="Arial" w:cs="Arial"/>
          <w:bCs/>
          <w:lang w:val="fr-CH"/>
        </w:rPr>
        <w:t>, l</w:t>
      </w:r>
      <w:r w:rsidR="00533159" w:rsidRPr="00533159">
        <w:rPr>
          <w:rFonts w:ascii="Arial" w:hAnsi="Arial" w:cs="Arial"/>
          <w:bCs/>
          <w:lang w:val="fr-CH"/>
        </w:rPr>
        <w:t>’exploitation moyenne du bois-énergie a augmenté de plus de 70 000 m</w:t>
      </w:r>
      <w:r w:rsidR="00533159" w:rsidRPr="008A26AB">
        <w:rPr>
          <w:rFonts w:ascii="Arial" w:hAnsi="Arial" w:cs="Arial"/>
          <w:bCs/>
          <w:vertAlign w:val="superscript"/>
          <w:lang w:val="fr-CH"/>
        </w:rPr>
        <w:t>3</w:t>
      </w:r>
      <w:r w:rsidR="00533159" w:rsidRPr="00533159">
        <w:rPr>
          <w:rFonts w:ascii="Arial" w:hAnsi="Arial" w:cs="Arial"/>
          <w:bCs/>
          <w:lang w:val="fr-CH"/>
        </w:rPr>
        <w:t xml:space="preserve"> chaque </w:t>
      </w:r>
      <w:r w:rsidR="00533159" w:rsidRPr="00533159">
        <w:rPr>
          <w:rFonts w:ascii="Arial" w:hAnsi="Arial" w:cs="Arial"/>
          <w:bCs/>
          <w:lang w:val="fr-CH"/>
        </w:rPr>
        <w:lastRenderedPageBreak/>
        <w:t>année</w:t>
      </w:r>
      <w:r w:rsidR="008A26AB">
        <w:rPr>
          <w:rFonts w:ascii="Arial" w:hAnsi="Arial" w:cs="Arial"/>
          <w:bCs/>
          <w:lang w:val="fr-CH"/>
        </w:rPr>
        <w:t>, tandis</w:t>
      </w:r>
      <w:r w:rsidR="00533159" w:rsidRPr="00533159">
        <w:rPr>
          <w:rFonts w:ascii="Arial" w:hAnsi="Arial" w:cs="Arial"/>
          <w:bCs/>
          <w:lang w:val="fr-CH"/>
        </w:rPr>
        <w:t xml:space="preserve"> que </w:t>
      </w:r>
      <w:r w:rsidR="00533159">
        <w:rPr>
          <w:rFonts w:ascii="Arial" w:hAnsi="Arial" w:cs="Arial"/>
          <w:bCs/>
          <w:lang w:val="fr-CH"/>
        </w:rPr>
        <w:t xml:space="preserve">les ventes de grumes sont demeurées stables et que le marché du bois industriel a </w:t>
      </w:r>
      <w:r w:rsidR="008A26AB">
        <w:rPr>
          <w:rFonts w:ascii="Arial" w:hAnsi="Arial" w:cs="Arial"/>
          <w:bCs/>
          <w:lang w:val="fr-CH"/>
        </w:rPr>
        <w:t xml:space="preserve">beaucoup </w:t>
      </w:r>
      <w:r w:rsidR="00533159">
        <w:rPr>
          <w:rFonts w:ascii="Arial" w:hAnsi="Arial" w:cs="Arial"/>
          <w:bCs/>
          <w:lang w:val="fr-CH"/>
        </w:rPr>
        <w:t>perdu de son importance.</w:t>
      </w:r>
    </w:p>
    <w:p w14:paraId="3AC84152" w14:textId="77777777" w:rsidR="006C3352" w:rsidRPr="00533159" w:rsidRDefault="006C3352" w:rsidP="00FB7C48">
      <w:pPr>
        <w:spacing w:after="0"/>
        <w:rPr>
          <w:rFonts w:ascii="Arial" w:hAnsi="Arial" w:cs="Arial"/>
          <w:bCs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6"/>
        <w:gridCol w:w="1230"/>
        <w:gridCol w:w="1186"/>
        <w:gridCol w:w="1232"/>
        <w:gridCol w:w="1188"/>
        <w:gridCol w:w="1232"/>
        <w:gridCol w:w="1188"/>
      </w:tblGrid>
      <w:tr w:rsidR="00F04BFB" w:rsidRPr="008C0CFB" w14:paraId="62449836" w14:textId="77777777" w:rsidTr="006C3352">
        <w:tc>
          <w:tcPr>
            <w:tcW w:w="1806" w:type="dxa"/>
            <w:vMerge w:val="restart"/>
          </w:tcPr>
          <w:p w14:paraId="21556178" w14:textId="6553EBC6" w:rsidR="000C133B" w:rsidRPr="008C0CFB" w:rsidRDefault="00533159" w:rsidP="00FB7C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 de bois-énergie</w:t>
            </w:r>
          </w:p>
        </w:tc>
        <w:tc>
          <w:tcPr>
            <w:tcW w:w="2416" w:type="dxa"/>
            <w:gridSpan w:val="2"/>
          </w:tcPr>
          <w:p w14:paraId="195083A2" w14:textId="4B78FD7E" w:rsidR="000C133B" w:rsidRPr="008C0CFB" w:rsidRDefault="00533159" w:rsidP="00FB7C4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Consommation</w:t>
            </w:r>
            <w:r w:rsidR="000C133B" w:rsidRPr="008C0CFB">
              <w:rPr>
                <w:rFonts w:ascii="Arial" w:hAnsi="Arial" w:cs="Arial"/>
                <w:b/>
              </w:rPr>
              <w:t xml:space="preserve"> 2022</w:t>
            </w:r>
          </w:p>
        </w:tc>
        <w:tc>
          <w:tcPr>
            <w:tcW w:w="2420" w:type="dxa"/>
            <w:gridSpan w:val="2"/>
          </w:tcPr>
          <w:p w14:paraId="03FF24C4" w14:textId="27D9CAAB" w:rsidR="000C133B" w:rsidRPr="008C0CFB" w:rsidRDefault="000C133B" w:rsidP="00FB7C48">
            <w:pPr>
              <w:spacing w:after="0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Poten</w:t>
            </w:r>
            <w:r w:rsidR="00533159">
              <w:rPr>
                <w:rFonts w:ascii="Arial" w:hAnsi="Arial" w:cs="Arial"/>
                <w:b/>
              </w:rPr>
              <w:t>tie</w:t>
            </w:r>
            <w:r w:rsidRPr="008C0CFB">
              <w:rPr>
                <w:rFonts w:ascii="Arial" w:hAnsi="Arial" w:cs="Arial"/>
                <w:b/>
              </w:rPr>
              <w:t>l total</w:t>
            </w:r>
          </w:p>
        </w:tc>
        <w:tc>
          <w:tcPr>
            <w:tcW w:w="2420" w:type="dxa"/>
            <w:gridSpan w:val="2"/>
          </w:tcPr>
          <w:p w14:paraId="16FF7BFF" w14:textId="52F3E3DA" w:rsidR="000C133B" w:rsidRPr="008C0CFB" w:rsidRDefault="000C133B" w:rsidP="00FB7C48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8C0CFB">
              <w:rPr>
                <w:rFonts w:ascii="Arial" w:hAnsi="Arial" w:cs="Arial"/>
                <w:b/>
                <w:sz w:val="21"/>
                <w:szCs w:val="21"/>
              </w:rPr>
              <w:t>Poten</w:t>
            </w:r>
            <w:r w:rsidR="00533159"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Pr="008C0CFB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533159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8C0CFB">
              <w:rPr>
                <w:rFonts w:ascii="Arial" w:hAnsi="Arial" w:cs="Arial"/>
                <w:b/>
                <w:sz w:val="21"/>
                <w:szCs w:val="21"/>
              </w:rPr>
              <w:t xml:space="preserve">l </w:t>
            </w:r>
            <w:r w:rsidR="00533159">
              <w:rPr>
                <w:rFonts w:ascii="Arial" w:hAnsi="Arial" w:cs="Arial"/>
                <w:b/>
                <w:sz w:val="21"/>
                <w:szCs w:val="21"/>
              </w:rPr>
              <w:t>restant</w:t>
            </w:r>
          </w:p>
        </w:tc>
      </w:tr>
      <w:tr w:rsidR="00F04BFB" w:rsidRPr="008C0CFB" w14:paraId="7E8004FE" w14:textId="77777777" w:rsidTr="006C3352">
        <w:tc>
          <w:tcPr>
            <w:tcW w:w="1806" w:type="dxa"/>
            <w:vMerge/>
          </w:tcPr>
          <w:p w14:paraId="7C9040C1" w14:textId="77777777" w:rsidR="000C133B" w:rsidRPr="008C0CFB" w:rsidRDefault="000C133B" w:rsidP="000C133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</w:tcPr>
          <w:p w14:paraId="451136F5" w14:textId="1D1A881E" w:rsidR="000C133B" w:rsidRPr="008C0CFB" w:rsidRDefault="000C133B" w:rsidP="000C133B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[m</w:t>
            </w:r>
            <w:r w:rsidRPr="008C0CFB">
              <w:rPr>
                <w:rFonts w:ascii="Arial" w:hAnsi="Arial" w:cs="Arial"/>
                <w:bCs/>
                <w:vertAlign w:val="superscript"/>
              </w:rPr>
              <w:t>3</w:t>
            </w:r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186" w:type="dxa"/>
          </w:tcPr>
          <w:p w14:paraId="40761ECF" w14:textId="1DE4A132" w:rsidR="000C133B" w:rsidRPr="008C0CFB" w:rsidRDefault="000C133B" w:rsidP="000C133B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[GWh/a]</w:t>
            </w:r>
          </w:p>
        </w:tc>
        <w:tc>
          <w:tcPr>
            <w:tcW w:w="1232" w:type="dxa"/>
          </w:tcPr>
          <w:p w14:paraId="0E88C1D2" w14:textId="64B836AA" w:rsidR="000C133B" w:rsidRPr="008C0CFB" w:rsidRDefault="000C133B" w:rsidP="000C133B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[m</w:t>
            </w:r>
            <w:r w:rsidRPr="008C0CFB">
              <w:rPr>
                <w:rFonts w:ascii="Arial" w:hAnsi="Arial" w:cs="Arial"/>
                <w:bCs/>
                <w:vertAlign w:val="superscript"/>
              </w:rPr>
              <w:t>3</w:t>
            </w:r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188" w:type="dxa"/>
          </w:tcPr>
          <w:p w14:paraId="2F8047DE" w14:textId="0A15FC9D" w:rsidR="000C133B" w:rsidRPr="008C0CFB" w:rsidRDefault="000C133B" w:rsidP="000C133B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[GWh/a]</w:t>
            </w:r>
          </w:p>
        </w:tc>
        <w:tc>
          <w:tcPr>
            <w:tcW w:w="1232" w:type="dxa"/>
          </w:tcPr>
          <w:p w14:paraId="6751DA6D" w14:textId="33AED087" w:rsidR="000C133B" w:rsidRPr="008C0CFB" w:rsidRDefault="000C133B" w:rsidP="000C133B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[m</w:t>
            </w:r>
            <w:r w:rsidRPr="008C0CFB">
              <w:rPr>
                <w:rFonts w:ascii="Arial" w:hAnsi="Arial" w:cs="Arial"/>
                <w:bCs/>
                <w:vertAlign w:val="superscript"/>
              </w:rPr>
              <w:t>3</w:t>
            </w:r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188" w:type="dxa"/>
          </w:tcPr>
          <w:p w14:paraId="4A356C14" w14:textId="5482AB53" w:rsidR="000C133B" w:rsidRPr="008C0CFB" w:rsidRDefault="000C133B" w:rsidP="000C133B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[GWh/a]</w:t>
            </w:r>
          </w:p>
        </w:tc>
      </w:tr>
      <w:tr w:rsidR="00F04BFB" w:rsidRPr="008C0CFB" w14:paraId="2EDC73E6" w14:textId="77777777" w:rsidTr="006C3352">
        <w:tc>
          <w:tcPr>
            <w:tcW w:w="1806" w:type="dxa"/>
          </w:tcPr>
          <w:p w14:paraId="104C7A4A" w14:textId="1C01DF89" w:rsidR="000C133B" w:rsidRPr="008C0CFB" w:rsidRDefault="00533159" w:rsidP="00FB7C48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Bois de forêt</w:t>
            </w:r>
          </w:p>
        </w:tc>
        <w:tc>
          <w:tcPr>
            <w:tcW w:w="1230" w:type="dxa"/>
          </w:tcPr>
          <w:p w14:paraId="60FC1FA7" w14:textId="026D6E00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607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500 </w:t>
            </w:r>
          </w:p>
        </w:tc>
        <w:tc>
          <w:tcPr>
            <w:tcW w:w="1186" w:type="dxa"/>
          </w:tcPr>
          <w:p w14:paraId="43574167" w14:textId="0FCD183E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7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118 </w:t>
            </w:r>
          </w:p>
        </w:tc>
        <w:tc>
          <w:tcPr>
            <w:tcW w:w="1232" w:type="dxa"/>
          </w:tcPr>
          <w:p w14:paraId="0574F04D" w14:textId="079B9CA3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479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1188" w:type="dxa"/>
          </w:tcPr>
          <w:p w14:paraId="72337251" w14:textId="3D45F02F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9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498 </w:t>
            </w:r>
          </w:p>
        </w:tc>
        <w:tc>
          <w:tcPr>
            <w:tcW w:w="1232" w:type="dxa"/>
          </w:tcPr>
          <w:p w14:paraId="3AB57E0B" w14:textId="24C6CEF2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871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88" w:type="dxa"/>
          </w:tcPr>
          <w:p w14:paraId="5FB14622" w14:textId="2278B524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380 </w:t>
            </w:r>
          </w:p>
        </w:tc>
      </w:tr>
      <w:tr w:rsidR="00F04BFB" w:rsidRPr="008C0CFB" w14:paraId="3F45B012" w14:textId="77777777" w:rsidTr="006C3352">
        <w:tc>
          <w:tcPr>
            <w:tcW w:w="1806" w:type="dxa"/>
          </w:tcPr>
          <w:p w14:paraId="5A570775" w14:textId="322FF8F8" w:rsidR="000C133B" w:rsidRPr="008C0CFB" w:rsidRDefault="00533159" w:rsidP="00FB7C48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Bois </w:t>
            </w:r>
            <w:r w:rsidR="008A26AB">
              <w:rPr>
                <w:rFonts w:ascii="Arial" w:hAnsi="Arial" w:cs="Arial"/>
                <w:bCs/>
              </w:rPr>
              <w:t>paysager</w:t>
            </w:r>
          </w:p>
        </w:tc>
        <w:tc>
          <w:tcPr>
            <w:tcW w:w="1230" w:type="dxa"/>
          </w:tcPr>
          <w:p w14:paraId="57C60997" w14:textId="1CC48CD7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326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700 </w:t>
            </w:r>
          </w:p>
        </w:tc>
        <w:tc>
          <w:tcPr>
            <w:tcW w:w="1186" w:type="dxa"/>
          </w:tcPr>
          <w:p w14:paraId="636AC9E2" w14:textId="6F3314D0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892</w:t>
            </w:r>
          </w:p>
        </w:tc>
        <w:tc>
          <w:tcPr>
            <w:tcW w:w="1232" w:type="dxa"/>
          </w:tcPr>
          <w:p w14:paraId="12CFCFC0" w14:textId="17A7533E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456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800 </w:t>
            </w:r>
          </w:p>
        </w:tc>
        <w:tc>
          <w:tcPr>
            <w:tcW w:w="1188" w:type="dxa"/>
          </w:tcPr>
          <w:p w14:paraId="4961BAC3" w14:textId="2B585527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247 </w:t>
            </w:r>
          </w:p>
        </w:tc>
        <w:tc>
          <w:tcPr>
            <w:tcW w:w="1232" w:type="dxa"/>
          </w:tcPr>
          <w:p w14:paraId="4546A5A7" w14:textId="6592019F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130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88" w:type="dxa"/>
          </w:tcPr>
          <w:p w14:paraId="424DD734" w14:textId="4CF5F709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355</w:t>
            </w:r>
          </w:p>
        </w:tc>
      </w:tr>
      <w:tr w:rsidR="00F04BFB" w:rsidRPr="008C0CFB" w14:paraId="7BD98548" w14:textId="77777777" w:rsidTr="006C3352">
        <w:tc>
          <w:tcPr>
            <w:tcW w:w="1806" w:type="dxa"/>
          </w:tcPr>
          <w:p w14:paraId="6F8075A2" w14:textId="104F59B6" w:rsidR="000C133B" w:rsidRPr="008C0CFB" w:rsidRDefault="008A26AB" w:rsidP="00FB7C48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Résidus de bois</w:t>
            </w:r>
            <w:r w:rsidR="0053315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30" w:type="dxa"/>
          </w:tcPr>
          <w:p w14:paraId="2E2DB28D" w14:textId="125A9168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383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86" w:type="dxa"/>
          </w:tcPr>
          <w:p w14:paraId="2A2797E0" w14:textId="1B46E36E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049 </w:t>
            </w:r>
          </w:p>
        </w:tc>
        <w:tc>
          <w:tcPr>
            <w:tcW w:w="1232" w:type="dxa"/>
          </w:tcPr>
          <w:p w14:paraId="4BFA3F3F" w14:textId="22EE40A2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483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1188" w:type="dxa"/>
          </w:tcPr>
          <w:p w14:paraId="5A5929AE" w14:textId="57DBBC8D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049 </w:t>
            </w:r>
          </w:p>
        </w:tc>
        <w:tc>
          <w:tcPr>
            <w:tcW w:w="1232" w:type="dxa"/>
          </w:tcPr>
          <w:p w14:paraId="29A0D13A" w14:textId="742C79D5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88" w:type="dxa"/>
          </w:tcPr>
          <w:p w14:paraId="19876FD2" w14:textId="70113174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-</w:t>
            </w:r>
          </w:p>
        </w:tc>
      </w:tr>
      <w:tr w:rsidR="00F04BFB" w:rsidRPr="008C0CFB" w14:paraId="68E00675" w14:textId="77777777" w:rsidTr="006C3352">
        <w:tc>
          <w:tcPr>
            <w:tcW w:w="1806" w:type="dxa"/>
          </w:tcPr>
          <w:p w14:paraId="62DB0B9F" w14:textId="05D7F411" w:rsidR="000C133B" w:rsidRPr="008C0CFB" w:rsidRDefault="00533159" w:rsidP="00FB7C48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Bois usagé</w:t>
            </w:r>
          </w:p>
        </w:tc>
        <w:tc>
          <w:tcPr>
            <w:tcW w:w="1230" w:type="dxa"/>
          </w:tcPr>
          <w:p w14:paraId="0859C555" w14:textId="4ECB19BA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082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600 </w:t>
            </w:r>
          </w:p>
        </w:tc>
        <w:tc>
          <w:tcPr>
            <w:tcW w:w="1186" w:type="dxa"/>
          </w:tcPr>
          <w:p w14:paraId="76F3F6F0" w14:textId="3211F7F5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955 </w:t>
            </w:r>
          </w:p>
        </w:tc>
        <w:tc>
          <w:tcPr>
            <w:tcW w:w="1232" w:type="dxa"/>
          </w:tcPr>
          <w:p w14:paraId="085543B6" w14:textId="0CA6D0CF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364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1188" w:type="dxa"/>
          </w:tcPr>
          <w:p w14:paraId="4A134D98" w14:textId="626D401B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725 </w:t>
            </w:r>
          </w:p>
        </w:tc>
        <w:tc>
          <w:tcPr>
            <w:tcW w:w="1232" w:type="dxa"/>
          </w:tcPr>
          <w:p w14:paraId="6194AE10" w14:textId="5FD125A9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281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700 </w:t>
            </w:r>
          </w:p>
        </w:tc>
        <w:tc>
          <w:tcPr>
            <w:tcW w:w="1188" w:type="dxa"/>
          </w:tcPr>
          <w:p w14:paraId="1FE68098" w14:textId="5EA32D05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770</w:t>
            </w:r>
          </w:p>
        </w:tc>
      </w:tr>
      <w:tr w:rsidR="00F04BFB" w:rsidRPr="008C0CFB" w14:paraId="16151285" w14:textId="77777777" w:rsidTr="006C3352">
        <w:tc>
          <w:tcPr>
            <w:tcW w:w="1806" w:type="dxa"/>
          </w:tcPr>
          <w:p w14:paraId="75649C07" w14:textId="34F0B3C6" w:rsidR="000C133B" w:rsidRPr="008C0CFB" w:rsidRDefault="000C133B" w:rsidP="00FB7C48">
            <w:pPr>
              <w:spacing w:after="0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30" w:type="dxa"/>
          </w:tcPr>
          <w:p w14:paraId="2FC2BD78" w14:textId="4B93D88B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5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500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100 </w:t>
            </w:r>
          </w:p>
        </w:tc>
        <w:tc>
          <w:tcPr>
            <w:tcW w:w="1186" w:type="dxa"/>
          </w:tcPr>
          <w:p w14:paraId="5CEB610F" w14:textId="76025761" w:rsidR="000C133B" w:rsidRPr="008C0CFB" w:rsidRDefault="000C133B" w:rsidP="000C133B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15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015 </w:t>
            </w:r>
          </w:p>
        </w:tc>
        <w:tc>
          <w:tcPr>
            <w:tcW w:w="1232" w:type="dxa"/>
          </w:tcPr>
          <w:p w14:paraId="4CF76CB1" w14:textId="2C99247D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6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783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700 </w:t>
            </w:r>
          </w:p>
        </w:tc>
        <w:tc>
          <w:tcPr>
            <w:tcW w:w="1188" w:type="dxa"/>
          </w:tcPr>
          <w:p w14:paraId="4B119FE3" w14:textId="2F5BF653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18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520 </w:t>
            </w:r>
          </w:p>
        </w:tc>
        <w:tc>
          <w:tcPr>
            <w:tcW w:w="1232" w:type="dxa"/>
          </w:tcPr>
          <w:p w14:paraId="7E2F9C48" w14:textId="70748B0B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283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600 </w:t>
            </w:r>
          </w:p>
        </w:tc>
        <w:tc>
          <w:tcPr>
            <w:tcW w:w="1188" w:type="dxa"/>
          </w:tcPr>
          <w:p w14:paraId="038B67AD" w14:textId="0FDEA0BF" w:rsidR="000C133B" w:rsidRPr="008C0CFB" w:rsidRDefault="00F04BFB" w:rsidP="000C133B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3</w:t>
            </w:r>
            <w:r w:rsidR="00533159"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505</w:t>
            </w:r>
          </w:p>
        </w:tc>
      </w:tr>
    </w:tbl>
    <w:p w14:paraId="128EFB47" w14:textId="77777777" w:rsidR="000C133B" w:rsidRPr="008C0CFB" w:rsidRDefault="000C133B" w:rsidP="00FB7C48">
      <w:pPr>
        <w:spacing w:after="0"/>
        <w:rPr>
          <w:rFonts w:ascii="Arial" w:hAnsi="Arial" w:cs="Arial"/>
          <w:bCs/>
        </w:rPr>
      </w:pPr>
    </w:p>
    <w:p w14:paraId="2DE98C85" w14:textId="405B25B2" w:rsidR="00866867" w:rsidRPr="00E55A19" w:rsidRDefault="00533159" w:rsidP="00FB7C48">
      <w:pPr>
        <w:spacing w:after="0"/>
        <w:rPr>
          <w:rFonts w:ascii="Arial" w:hAnsi="Arial" w:cs="Arial"/>
          <w:bCs/>
          <w:lang w:val="fr-CH"/>
        </w:rPr>
      </w:pPr>
      <w:r w:rsidRPr="0058123E">
        <w:rPr>
          <w:rFonts w:ascii="Arial" w:hAnsi="Arial" w:cs="Arial"/>
          <w:bCs/>
          <w:lang w:val="fr-CH"/>
        </w:rPr>
        <w:t>Le potentiel théorique d</w:t>
      </w:r>
      <w:r w:rsidR="008A26AB">
        <w:rPr>
          <w:rFonts w:ascii="Arial" w:hAnsi="Arial" w:cs="Arial"/>
          <w:bCs/>
          <w:lang w:val="fr-CH"/>
        </w:rPr>
        <w:t>u</w:t>
      </w:r>
      <w:r w:rsidRPr="0058123E">
        <w:rPr>
          <w:rFonts w:ascii="Arial" w:hAnsi="Arial" w:cs="Arial"/>
          <w:bCs/>
          <w:lang w:val="fr-CH"/>
        </w:rPr>
        <w:t xml:space="preserve"> bois de forêt se situe à</w:t>
      </w:r>
      <w:r w:rsidR="00F04BFB" w:rsidRPr="0058123E">
        <w:rPr>
          <w:rFonts w:ascii="Arial" w:hAnsi="Arial" w:cs="Arial"/>
          <w:bCs/>
          <w:lang w:val="fr-CH"/>
        </w:rPr>
        <w:t xml:space="preserve"> </w:t>
      </w:r>
      <w:r w:rsidRPr="0058123E">
        <w:rPr>
          <w:rFonts w:ascii="Arial" w:hAnsi="Arial" w:cs="Arial"/>
          <w:bCs/>
          <w:lang w:val="fr-CH"/>
        </w:rPr>
        <w:t>environ</w:t>
      </w:r>
      <w:r w:rsidR="00F04BFB" w:rsidRPr="0058123E">
        <w:rPr>
          <w:rFonts w:ascii="Arial" w:hAnsi="Arial" w:cs="Arial"/>
          <w:bCs/>
          <w:lang w:val="fr-CH"/>
        </w:rPr>
        <w:t xml:space="preserve"> </w:t>
      </w:r>
      <w:r w:rsidR="00126B03" w:rsidRPr="0058123E">
        <w:rPr>
          <w:rFonts w:ascii="Arial" w:hAnsi="Arial" w:cs="Arial"/>
          <w:bCs/>
          <w:lang w:val="fr-CH"/>
        </w:rPr>
        <w:t>10</w:t>
      </w:r>
      <w:r w:rsidR="008A26AB">
        <w:rPr>
          <w:rFonts w:ascii="Arial" w:hAnsi="Arial" w:cs="Arial"/>
          <w:bCs/>
          <w:lang w:val="fr-CH"/>
        </w:rPr>
        <w:t> </w:t>
      </w:r>
      <w:r w:rsidR="00E55A19" w:rsidRPr="0058123E">
        <w:rPr>
          <w:rFonts w:ascii="Arial" w:hAnsi="Arial" w:cs="Arial"/>
          <w:bCs/>
          <w:lang w:val="fr-CH"/>
        </w:rPr>
        <w:t>m</w:t>
      </w:r>
      <w:r w:rsidR="00126B03" w:rsidRPr="0058123E">
        <w:rPr>
          <w:rFonts w:ascii="Arial" w:hAnsi="Arial" w:cs="Arial"/>
          <w:bCs/>
          <w:lang w:val="fr-CH"/>
        </w:rPr>
        <w:t>illion</w:t>
      </w:r>
      <w:r w:rsidR="00E55A19" w:rsidRPr="0058123E">
        <w:rPr>
          <w:rFonts w:ascii="Arial" w:hAnsi="Arial" w:cs="Arial"/>
          <w:bCs/>
          <w:lang w:val="fr-CH"/>
        </w:rPr>
        <w:t>s de m</w:t>
      </w:r>
      <w:r w:rsidR="00E55A19" w:rsidRPr="008A26AB">
        <w:rPr>
          <w:rFonts w:ascii="Arial" w:hAnsi="Arial" w:cs="Arial"/>
          <w:bCs/>
          <w:vertAlign w:val="superscript"/>
          <w:lang w:val="fr-CH"/>
        </w:rPr>
        <w:t>3</w:t>
      </w:r>
      <w:r w:rsidR="00E55A19" w:rsidRPr="0058123E">
        <w:rPr>
          <w:rFonts w:ascii="Arial" w:hAnsi="Arial" w:cs="Arial"/>
          <w:bCs/>
          <w:lang w:val="fr-CH"/>
        </w:rPr>
        <w:t>.</w:t>
      </w:r>
      <w:r w:rsidR="00F04BFB" w:rsidRPr="0058123E">
        <w:rPr>
          <w:rFonts w:ascii="Arial" w:hAnsi="Arial" w:cs="Arial"/>
          <w:bCs/>
          <w:lang w:val="fr-CH"/>
        </w:rPr>
        <w:t xml:space="preserve"> </w:t>
      </w:r>
      <w:r w:rsidR="008A26AB">
        <w:rPr>
          <w:rFonts w:ascii="Arial" w:hAnsi="Arial" w:cs="Arial"/>
          <w:bCs/>
          <w:lang w:val="fr-CH"/>
        </w:rPr>
        <w:t xml:space="preserve">Son </w:t>
      </w:r>
      <w:r w:rsidR="00E55A19" w:rsidRPr="0058123E">
        <w:rPr>
          <w:rFonts w:ascii="Arial" w:hAnsi="Arial" w:cs="Arial"/>
          <w:bCs/>
          <w:lang w:val="fr-CH"/>
        </w:rPr>
        <w:t>exploit</w:t>
      </w:r>
      <w:r w:rsidR="008A26AB">
        <w:rPr>
          <w:rFonts w:ascii="Arial" w:hAnsi="Arial" w:cs="Arial"/>
          <w:bCs/>
          <w:lang w:val="fr-CH"/>
        </w:rPr>
        <w:t>ation</w:t>
      </w:r>
      <w:r w:rsidR="00E55A19" w:rsidRPr="0058123E">
        <w:rPr>
          <w:rFonts w:ascii="Arial" w:hAnsi="Arial" w:cs="Arial"/>
          <w:bCs/>
          <w:lang w:val="fr-CH"/>
        </w:rPr>
        <w:t xml:space="preserve"> n’est ni utile ni possible, car il comporte aussi des forêts montagnardes très difficiles d’accès et des réserves naturelles. </w:t>
      </w:r>
      <w:r w:rsidR="00E55A19" w:rsidRPr="00E55A19">
        <w:rPr>
          <w:rFonts w:ascii="Arial" w:hAnsi="Arial" w:cs="Arial"/>
          <w:bCs/>
          <w:lang w:val="fr-CH"/>
        </w:rPr>
        <w:t xml:space="preserve">Des importations </w:t>
      </w:r>
      <w:r w:rsidR="008A26AB">
        <w:rPr>
          <w:rFonts w:ascii="Arial" w:hAnsi="Arial" w:cs="Arial"/>
          <w:bCs/>
          <w:lang w:val="fr-CH"/>
        </w:rPr>
        <w:t>à bas prix</w:t>
      </w:r>
      <w:r w:rsidR="00E55A19" w:rsidRPr="00E55A19">
        <w:rPr>
          <w:rFonts w:ascii="Arial" w:hAnsi="Arial" w:cs="Arial"/>
          <w:bCs/>
          <w:lang w:val="fr-CH"/>
        </w:rPr>
        <w:t xml:space="preserve"> et le comportement des propriétaires forestiers </w:t>
      </w:r>
      <w:r w:rsidR="008A26AB">
        <w:rPr>
          <w:rFonts w:ascii="Arial" w:hAnsi="Arial" w:cs="Arial"/>
          <w:bCs/>
          <w:lang w:val="fr-CH"/>
        </w:rPr>
        <w:t>contribuent à réduire</w:t>
      </w:r>
      <w:r w:rsidR="00E55A19" w:rsidRPr="00E55A19">
        <w:rPr>
          <w:rFonts w:ascii="Arial" w:hAnsi="Arial" w:cs="Arial"/>
          <w:bCs/>
          <w:lang w:val="fr-CH"/>
        </w:rPr>
        <w:t xml:space="preserve"> encore davantage le </w:t>
      </w:r>
      <w:r w:rsidR="008A26AB">
        <w:rPr>
          <w:rFonts w:ascii="Arial" w:hAnsi="Arial" w:cs="Arial"/>
          <w:bCs/>
          <w:lang w:val="fr-CH"/>
        </w:rPr>
        <w:t>taux</w:t>
      </w:r>
      <w:r w:rsidR="00E55A19" w:rsidRPr="00E55A19">
        <w:rPr>
          <w:rFonts w:ascii="Arial" w:hAnsi="Arial" w:cs="Arial"/>
          <w:bCs/>
          <w:lang w:val="fr-CH"/>
        </w:rPr>
        <w:t xml:space="preserve"> d’exploitation du potentiel théorique.</w:t>
      </w:r>
      <w:r w:rsidR="00CA3912" w:rsidRPr="00E55A19">
        <w:rPr>
          <w:rFonts w:ascii="Arial" w:hAnsi="Arial" w:cs="Arial"/>
          <w:bCs/>
          <w:lang w:val="fr-CH"/>
        </w:rPr>
        <w:t xml:space="preserve"> </w:t>
      </w:r>
      <w:r w:rsidR="00B03EF9">
        <w:rPr>
          <w:rFonts w:ascii="Arial" w:hAnsi="Arial" w:cs="Arial"/>
          <w:bCs/>
          <w:lang w:val="fr-CH"/>
        </w:rPr>
        <w:t>Pourtant, c’est la</w:t>
      </w:r>
      <w:r w:rsidR="00E55A19" w:rsidRPr="00E55A19">
        <w:rPr>
          <w:rFonts w:ascii="Arial" w:hAnsi="Arial" w:cs="Arial"/>
          <w:bCs/>
          <w:lang w:val="fr-CH"/>
        </w:rPr>
        <w:t xml:space="preserve"> forêt </w:t>
      </w:r>
      <w:r w:rsidR="00B03EF9">
        <w:rPr>
          <w:rFonts w:ascii="Arial" w:hAnsi="Arial" w:cs="Arial"/>
          <w:bCs/>
          <w:lang w:val="fr-CH"/>
        </w:rPr>
        <w:t>qui recèle</w:t>
      </w:r>
      <w:r w:rsidR="00E55A19" w:rsidRPr="00E55A19">
        <w:rPr>
          <w:rFonts w:ascii="Arial" w:hAnsi="Arial" w:cs="Arial"/>
          <w:bCs/>
          <w:lang w:val="fr-CH"/>
        </w:rPr>
        <w:t xml:space="preserve"> les volumes de</w:t>
      </w:r>
      <w:r w:rsidR="00E55A19">
        <w:rPr>
          <w:rFonts w:ascii="Arial" w:hAnsi="Arial" w:cs="Arial"/>
          <w:bCs/>
          <w:lang w:val="fr-CH"/>
        </w:rPr>
        <w:t xml:space="preserve"> bois les plus importants pour une exploitation supplémentaire</w:t>
      </w:r>
      <w:r w:rsidR="00CA3912" w:rsidRPr="00E55A19">
        <w:rPr>
          <w:rFonts w:ascii="Arial" w:hAnsi="Arial" w:cs="Arial"/>
          <w:bCs/>
          <w:lang w:val="fr-CH"/>
        </w:rPr>
        <w:t>.</w:t>
      </w:r>
    </w:p>
    <w:p w14:paraId="41E2F7A7" w14:textId="77777777" w:rsidR="00C10EAD" w:rsidRPr="00E55A19" w:rsidRDefault="00C10EAD" w:rsidP="00FB7C48">
      <w:pPr>
        <w:spacing w:after="0"/>
        <w:rPr>
          <w:rFonts w:ascii="Arial" w:hAnsi="Arial" w:cs="Arial"/>
          <w:bCs/>
          <w:lang w:val="fr-CH"/>
        </w:rPr>
      </w:pPr>
    </w:p>
    <w:p w14:paraId="2A97E893" w14:textId="6551D155" w:rsidR="00C10EAD" w:rsidRPr="00E55A19" w:rsidRDefault="00E55A19" w:rsidP="00FB7C48">
      <w:pPr>
        <w:spacing w:after="0"/>
        <w:rPr>
          <w:rFonts w:ascii="Arial" w:hAnsi="Arial" w:cs="Arial"/>
          <w:b/>
          <w:lang w:val="fr-CH"/>
        </w:rPr>
      </w:pPr>
      <w:r w:rsidRPr="00E55A19">
        <w:rPr>
          <w:rFonts w:ascii="Arial" w:hAnsi="Arial" w:cs="Arial"/>
          <w:b/>
          <w:lang w:val="fr-CH"/>
        </w:rPr>
        <w:t>Un potentiel exploité à près</w:t>
      </w:r>
      <w:r>
        <w:rPr>
          <w:rFonts w:ascii="Arial" w:hAnsi="Arial" w:cs="Arial"/>
          <w:b/>
          <w:lang w:val="fr-CH"/>
        </w:rPr>
        <w:t xml:space="preserve"> de</w:t>
      </w:r>
      <w:r w:rsidR="00CA3912" w:rsidRPr="00E55A19">
        <w:rPr>
          <w:rFonts w:ascii="Arial" w:hAnsi="Arial" w:cs="Arial"/>
          <w:b/>
          <w:lang w:val="fr-CH"/>
        </w:rPr>
        <w:t xml:space="preserve"> 80</w:t>
      </w:r>
      <w:r>
        <w:rPr>
          <w:rFonts w:ascii="Arial" w:hAnsi="Arial" w:cs="Arial"/>
          <w:b/>
          <w:lang w:val="fr-CH"/>
        </w:rPr>
        <w:t>%</w:t>
      </w:r>
    </w:p>
    <w:p w14:paraId="751B8C98" w14:textId="77777777" w:rsidR="00C10EAD" w:rsidRPr="00E55A19" w:rsidRDefault="00C10EAD" w:rsidP="00FB7C48">
      <w:pPr>
        <w:spacing w:after="0"/>
        <w:rPr>
          <w:rFonts w:ascii="Arial" w:hAnsi="Arial" w:cs="Arial"/>
          <w:bCs/>
          <w:lang w:val="fr-CH"/>
        </w:rPr>
      </w:pPr>
    </w:p>
    <w:p w14:paraId="2057C491" w14:textId="715E2256" w:rsidR="00CA3912" w:rsidRPr="0058123E" w:rsidRDefault="0058123E" w:rsidP="00CA3912">
      <w:pPr>
        <w:spacing w:after="0"/>
        <w:rPr>
          <w:rFonts w:ascii="Arial" w:hAnsi="Arial" w:cs="Arial"/>
          <w:bCs/>
          <w:lang w:val="fr-CH"/>
        </w:rPr>
      </w:pPr>
      <w:r w:rsidRPr="0058123E">
        <w:rPr>
          <w:rFonts w:ascii="Arial" w:hAnsi="Arial" w:cs="Arial"/>
          <w:bCs/>
          <w:lang w:val="fr-CH"/>
        </w:rPr>
        <w:t xml:space="preserve">Les analyses d’Energie-bois Suisse révèlent que le potentiel </w:t>
      </w:r>
      <w:r w:rsidR="00B03EF9" w:rsidRPr="0058123E">
        <w:rPr>
          <w:rFonts w:ascii="Arial" w:hAnsi="Arial" w:cs="Arial"/>
          <w:bCs/>
          <w:lang w:val="fr-CH"/>
        </w:rPr>
        <w:t xml:space="preserve">supplémentaire </w:t>
      </w:r>
      <w:r w:rsidRPr="0058123E">
        <w:rPr>
          <w:rFonts w:ascii="Arial" w:hAnsi="Arial" w:cs="Arial"/>
          <w:bCs/>
          <w:lang w:val="fr-CH"/>
        </w:rPr>
        <w:t>exploitable po</w:t>
      </w:r>
      <w:r>
        <w:rPr>
          <w:rFonts w:ascii="Arial" w:hAnsi="Arial" w:cs="Arial"/>
          <w:bCs/>
          <w:lang w:val="fr-CH"/>
        </w:rPr>
        <w:t xml:space="preserve">ur le bois </w:t>
      </w:r>
      <w:r w:rsidR="00B03EF9">
        <w:rPr>
          <w:rFonts w:ascii="Arial" w:hAnsi="Arial" w:cs="Arial"/>
          <w:bCs/>
          <w:lang w:val="fr-CH"/>
        </w:rPr>
        <w:t>de forêt</w:t>
      </w:r>
      <w:r>
        <w:rPr>
          <w:rFonts w:ascii="Arial" w:hAnsi="Arial" w:cs="Arial"/>
          <w:bCs/>
          <w:lang w:val="fr-CH"/>
        </w:rPr>
        <w:t xml:space="preserve">, </w:t>
      </w:r>
      <w:r w:rsidR="00B03EF9">
        <w:rPr>
          <w:rFonts w:ascii="Arial" w:hAnsi="Arial" w:cs="Arial"/>
          <w:bCs/>
          <w:lang w:val="fr-CH"/>
        </w:rPr>
        <w:t xml:space="preserve">paysager </w:t>
      </w:r>
      <w:r>
        <w:rPr>
          <w:rFonts w:ascii="Arial" w:hAnsi="Arial" w:cs="Arial"/>
          <w:bCs/>
          <w:lang w:val="fr-CH"/>
        </w:rPr>
        <w:t>et</w:t>
      </w:r>
      <w:r w:rsidR="00B03EF9">
        <w:rPr>
          <w:rFonts w:ascii="Arial" w:hAnsi="Arial" w:cs="Arial"/>
          <w:bCs/>
          <w:lang w:val="fr-CH"/>
        </w:rPr>
        <w:t xml:space="preserve"> usagé</w:t>
      </w:r>
      <w:r>
        <w:rPr>
          <w:rFonts w:ascii="Arial" w:hAnsi="Arial" w:cs="Arial"/>
          <w:bCs/>
          <w:lang w:val="fr-CH"/>
        </w:rPr>
        <w:t xml:space="preserve"> se situe </w:t>
      </w:r>
      <w:r w:rsidR="00B03EF9">
        <w:rPr>
          <w:rFonts w:ascii="Arial" w:hAnsi="Arial" w:cs="Arial"/>
          <w:bCs/>
          <w:lang w:val="fr-CH"/>
        </w:rPr>
        <w:t xml:space="preserve">actuellement </w:t>
      </w:r>
      <w:r>
        <w:rPr>
          <w:rFonts w:ascii="Arial" w:hAnsi="Arial" w:cs="Arial"/>
          <w:bCs/>
          <w:lang w:val="fr-CH"/>
        </w:rPr>
        <w:t xml:space="preserve">à </w:t>
      </w:r>
      <w:r w:rsidR="00CA3912" w:rsidRPr="0058123E">
        <w:rPr>
          <w:rFonts w:ascii="Arial" w:hAnsi="Arial" w:cs="Arial"/>
          <w:bCs/>
          <w:lang w:val="fr-CH"/>
        </w:rPr>
        <w:t xml:space="preserve">1,28 </w:t>
      </w:r>
      <w:r>
        <w:rPr>
          <w:rFonts w:ascii="Arial" w:hAnsi="Arial" w:cs="Arial"/>
          <w:bCs/>
          <w:lang w:val="fr-CH"/>
        </w:rPr>
        <w:t>million de m</w:t>
      </w:r>
      <w:r w:rsidRPr="006C63EB">
        <w:rPr>
          <w:rFonts w:ascii="Arial" w:hAnsi="Arial" w:cs="Arial"/>
          <w:bCs/>
          <w:vertAlign w:val="superscript"/>
          <w:lang w:val="fr-CH"/>
        </w:rPr>
        <w:t>3</w:t>
      </w:r>
      <w:r w:rsidR="00CA3912" w:rsidRPr="0058123E">
        <w:rPr>
          <w:rFonts w:ascii="Arial" w:hAnsi="Arial" w:cs="Arial"/>
          <w:bCs/>
          <w:lang w:val="fr-CH"/>
        </w:rPr>
        <w:t xml:space="preserve">. </w:t>
      </w:r>
      <w:r w:rsidRPr="0058123E">
        <w:rPr>
          <w:rFonts w:ascii="Arial" w:hAnsi="Arial" w:cs="Arial"/>
          <w:bCs/>
          <w:lang w:val="fr-CH"/>
        </w:rPr>
        <w:t>Ce chiffre correspond à environ 20% du potentiel total raisonnablement exploitable.</w:t>
      </w:r>
      <w:r>
        <w:rPr>
          <w:rFonts w:ascii="Arial" w:hAnsi="Arial" w:cs="Arial"/>
          <w:bCs/>
          <w:lang w:val="fr-CH"/>
        </w:rPr>
        <w:t xml:space="preserve"> </w:t>
      </w:r>
      <w:r w:rsidRPr="0058123E">
        <w:rPr>
          <w:rFonts w:ascii="Arial" w:hAnsi="Arial" w:cs="Arial"/>
          <w:bCs/>
          <w:lang w:val="fr-CH"/>
        </w:rPr>
        <w:t xml:space="preserve">A moyen et à long terme, </w:t>
      </w:r>
      <w:r w:rsidR="00B03EF9" w:rsidRPr="0058123E">
        <w:rPr>
          <w:rFonts w:ascii="Arial" w:hAnsi="Arial" w:cs="Arial"/>
          <w:bCs/>
          <w:lang w:val="fr-CH"/>
        </w:rPr>
        <w:t>une efficacité</w:t>
      </w:r>
      <w:r w:rsidR="00B03EF9">
        <w:rPr>
          <w:rFonts w:ascii="Arial" w:hAnsi="Arial" w:cs="Arial"/>
          <w:bCs/>
          <w:lang w:val="fr-CH"/>
        </w:rPr>
        <w:t xml:space="preserve"> accrue et des optimisations</w:t>
      </w:r>
      <w:r w:rsidR="00B03EF9" w:rsidRPr="0058123E">
        <w:rPr>
          <w:rFonts w:ascii="Arial" w:hAnsi="Arial" w:cs="Arial"/>
          <w:bCs/>
          <w:lang w:val="fr-CH"/>
        </w:rPr>
        <w:t xml:space="preserve"> </w:t>
      </w:r>
      <w:r w:rsidR="00B03EF9">
        <w:rPr>
          <w:rFonts w:ascii="Arial" w:hAnsi="Arial" w:cs="Arial"/>
          <w:bCs/>
          <w:lang w:val="fr-CH"/>
        </w:rPr>
        <w:t>permett</w:t>
      </w:r>
      <w:r w:rsidR="00BC25D9">
        <w:rPr>
          <w:rFonts w:ascii="Arial" w:hAnsi="Arial" w:cs="Arial"/>
          <w:bCs/>
          <w:lang w:val="fr-CH"/>
        </w:rPr>
        <w:t>ro</w:t>
      </w:r>
      <w:r w:rsidR="00B03EF9">
        <w:rPr>
          <w:rFonts w:ascii="Arial" w:hAnsi="Arial" w:cs="Arial"/>
          <w:bCs/>
          <w:lang w:val="fr-CH"/>
        </w:rPr>
        <w:t xml:space="preserve">nt de réduire </w:t>
      </w:r>
      <w:r w:rsidRPr="0058123E">
        <w:rPr>
          <w:rFonts w:ascii="Arial" w:hAnsi="Arial" w:cs="Arial"/>
          <w:bCs/>
          <w:lang w:val="fr-CH"/>
        </w:rPr>
        <w:t xml:space="preserve">la consommation </w:t>
      </w:r>
      <w:r w:rsidR="00B03EF9">
        <w:rPr>
          <w:rFonts w:ascii="Arial" w:hAnsi="Arial" w:cs="Arial"/>
          <w:bCs/>
          <w:lang w:val="fr-CH"/>
        </w:rPr>
        <w:t xml:space="preserve">de bois </w:t>
      </w:r>
      <w:r w:rsidRPr="0058123E">
        <w:rPr>
          <w:rFonts w:ascii="Arial" w:hAnsi="Arial" w:cs="Arial"/>
          <w:bCs/>
          <w:lang w:val="fr-CH"/>
        </w:rPr>
        <w:t xml:space="preserve">des chauffages </w:t>
      </w:r>
      <w:r w:rsidR="00B03EF9">
        <w:rPr>
          <w:rFonts w:ascii="Arial" w:hAnsi="Arial" w:cs="Arial"/>
          <w:bCs/>
          <w:lang w:val="fr-CH"/>
        </w:rPr>
        <w:t xml:space="preserve">existants </w:t>
      </w:r>
      <w:r w:rsidRPr="0058123E">
        <w:rPr>
          <w:rFonts w:ascii="Arial" w:hAnsi="Arial" w:cs="Arial"/>
          <w:bCs/>
          <w:lang w:val="fr-CH"/>
        </w:rPr>
        <w:t>et réseaux de chaleur urbains</w:t>
      </w:r>
      <w:r w:rsidR="00CA3912" w:rsidRPr="0058123E">
        <w:rPr>
          <w:rFonts w:ascii="Arial" w:hAnsi="Arial" w:cs="Arial"/>
          <w:bCs/>
          <w:lang w:val="fr-CH"/>
        </w:rPr>
        <w:t xml:space="preserve"> </w:t>
      </w:r>
      <w:r w:rsidRPr="0058123E">
        <w:rPr>
          <w:rFonts w:ascii="Arial" w:hAnsi="Arial" w:cs="Arial"/>
          <w:bCs/>
          <w:lang w:val="fr-CH"/>
        </w:rPr>
        <w:t>de 10% à 15%</w:t>
      </w:r>
      <w:r>
        <w:rPr>
          <w:rFonts w:ascii="Arial" w:hAnsi="Arial" w:cs="Arial"/>
          <w:bCs/>
          <w:lang w:val="fr-CH"/>
        </w:rPr>
        <w:t xml:space="preserve">. </w:t>
      </w:r>
      <w:r w:rsidRPr="0058123E">
        <w:rPr>
          <w:rFonts w:ascii="Arial" w:hAnsi="Arial" w:cs="Arial"/>
          <w:bCs/>
          <w:lang w:val="fr-CH"/>
        </w:rPr>
        <w:t xml:space="preserve">Ces mesures </w:t>
      </w:r>
      <w:r w:rsidR="00B03EF9">
        <w:rPr>
          <w:rFonts w:ascii="Arial" w:hAnsi="Arial" w:cs="Arial"/>
          <w:bCs/>
          <w:lang w:val="fr-CH"/>
        </w:rPr>
        <w:t xml:space="preserve">pourraient </w:t>
      </w:r>
      <w:r w:rsidRPr="0058123E">
        <w:rPr>
          <w:rFonts w:ascii="Arial" w:hAnsi="Arial" w:cs="Arial"/>
          <w:bCs/>
          <w:lang w:val="fr-CH"/>
        </w:rPr>
        <w:t xml:space="preserve">«libérer» entre </w:t>
      </w:r>
      <w:r w:rsidR="00CA3912" w:rsidRPr="0058123E">
        <w:rPr>
          <w:rFonts w:ascii="Arial" w:hAnsi="Arial" w:cs="Arial"/>
          <w:bCs/>
          <w:lang w:val="fr-CH"/>
        </w:rPr>
        <w:t xml:space="preserve">0,3 </w:t>
      </w:r>
      <w:r w:rsidRPr="0058123E">
        <w:rPr>
          <w:rFonts w:ascii="Arial" w:hAnsi="Arial" w:cs="Arial"/>
          <w:bCs/>
          <w:lang w:val="fr-CH"/>
        </w:rPr>
        <w:t>et</w:t>
      </w:r>
      <w:r w:rsidR="00CA3912" w:rsidRPr="0058123E">
        <w:rPr>
          <w:rFonts w:ascii="Arial" w:hAnsi="Arial" w:cs="Arial"/>
          <w:bCs/>
          <w:lang w:val="fr-CH"/>
        </w:rPr>
        <w:t xml:space="preserve"> 0,5 </w:t>
      </w:r>
      <w:r w:rsidRPr="0058123E">
        <w:rPr>
          <w:rFonts w:ascii="Arial" w:hAnsi="Arial" w:cs="Arial"/>
          <w:bCs/>
          <w:lang w:val="fr-CH"/>
        </w:rPr>
        <w:t>million de m</w:t>
      </w:r>
      <w:r w:rsidRPr="006C63EB">
        <w:rPr>
          <w:rFonts w:ascii="Arial" w:hAnsi="Arial" w:cs="Arial"/>
          <w:bCs/>
          <w:vertAlign w:val="superscript"/>
          <w:lang w:val="fr-CH"/>
        </w:rPr>
        <w:t>3</w:t>
      </w:r>
      <w:r w:rsidRPr="0058123E">
        <w:rPr>
          <w:rFonts w:ascii="Arial" w:hAnsi="Arial" w:cs="Arial"/>
          <w:bCs/>
          <w:lang w:val="fr-CH"/>
        </w:rPr>
        <w:t xml:space="preserve"> de bois pour de</w:t>
      </w:r>
      <w:r>
        <w:rPr>
          <w:rFonts w:ascii="Arial" w:hAnsi="Arial" w:cs="Arial"/>
          <w:bCs/>
          <w:lang w:val="fr-CH"/>
        </w:rPr>
        <w:t xml:space="preserve">s applications supplémentaires. </w:t>
      </w:r>
      <w:r w:rsidRPr="0058123E">
        <w:rPr>
          <w:rFonts w:ascii="Arial" w:hAnsi="Arial" w:cs="Arial"/>
          <w:bCs/>
          <w:lang w:val="fr-CH"/>
        </w:rPr>
        <w:t>Une intégration intelligente de sources d’énergie additionnelles</w:t>
      </w:r>
      <w:r w:rsidR="00B03EF9">
        <w:rPr>
          <w:rFonts w:ascii="Arial" w:hAnsi="Arial" w:cs="Arial"/>
          <w:bCs/>
          <w:lang w:val="fr-CH"/>
        </w:rPr>
        <w:t xml:space="preserve"> –</w:t>
      </w:r>
      <w:r w:rsidRPr="0058123E">
        <w:rPr>
          <w:rFonts w:ascii="Arial" w:hAnsi="Arial" w:cs="Arial"/>
          <w:bCs/>
          <w:lang w:val="fr-CH"/>
        </w:rPr>
        <w:t xml:space="preserve"> telles que le photovoltaïque</w:t>
      </w:r>
      <w:r w:rsidR="00B03EF9">
        <w:rPr>
          <w:rFonts w:ascii="Arial" w:hAnsi="Arial" w:cs="Arial"/>
          <w:bCs/>
          <w:lang w:val="fr-CH"/>
        </w:rPr>
        <w:t> </w:t>
      </w:r>
      <w:r w:rsidRPr="0058123E">
        <w:rPr>
          <w:rFonts w:ascii="Arial" w:hAnsi="Arial" w:cs="Arial"/>
          <w:bCs/>
          <w:lang w:val="fr-CH"/>
        </w:rPr>
        <w:t>/</w:t>
      </w:r>
      <w:r w:rsidR="00B03EF9">
        <w:rPr>
          <w:rFonts w:ascii="Arial" w:hAnsi="Arial" w:cs="Arial"/>
          <w:bCs/>
          <w:lang w:val="fr-CH"/>
        </w:rPr>
        <w:t> </w:t>
      </w:r>
      <w:r w:rsidRPr="0058123E">
        <w:rPr>
          <w:rFonts w:ascii="Arial" w:hAnsi="Arial" w:cs="Arial"/>
          <w:bCs/>
          <w:lang w:val="fr-CH"/>
        </w:rPr>
        <w:t xml:space="preserve">les pompes à chaleur ou les installations solaires thermiques </w:t>
      </w:r>
      <w:r w:rsidR="00B03EF9">
        <w:rPr>
          <w:rFonts w:ascii="Arial" w:hAnsi="Arial" w:cs="Arial"/>
          <w:bCs/>
          <w:lang w:val="fr-CH"/>
        </w:rPr>
        <w:t xml:space="preserve">– </w:t>
      </w:r>
      <w:r w:rsidRPr="0058123E">
        <w:rPr>
          <w:rFonts w:ascii="Arial" w:hAnsi="Arial" w:cs="Arial"/>
          <w:bCs/>
          <w:lang w:val="fr-CH"/>
        </w:rPr>
        <w:t xml:space="preserve">avec </w:t>
      </w:r>
      <w:r>
        <w:rPr>
          <w:rFonts w:ascii="Arial" w:hAnsi="Arial" w:cs="Arial"/>
          <w:bCs/>
          <w:lang w:val="fr-CH"/>
        </w:rPr>
        <w:t xml:space="preserve">les installations existantes </w:t>
      </w:r>
      <w:r w:rsidR="00B03EF9">
        <w:rPr>
          <w:rFonts w:ascii="Arial" w:hAnsi="Arial" w:cs="Arial"/>
          <w:bCs/>
          <w:lang w:val="fr-CH"/>
        </w:rPr>
        <w:t>permettrait de</w:t>
      </w:r>
      <w:r>
        <w:rPr>
          <w:rFonts w:ascii="Arial" w:hAnsi="Arial" w:cs="Arial"/>
          <w:bCs/>
          <w:lang w:val="fr-CH"/>
        </w:rPr>
        <w:t xml:space="preserve"> réduire encore davantage la consommation de bois, de </w:t>
      </w:r>
      <w:r w:rsidR="00B03EF9">
        <w:rPr>
          <w:rFonts w:ascii="Arial" w:hAnsi="Arial" w:cs="Arial"/>
          <w:bCs/>
          <w:lang w:val="fr-CH"/>
        </w:rPr>
        <w:t xml:space="preserve">l’ordre de </w:t>
      </w:r>
      <w:r w:rsidR="00B263E2" w:rsidRPr="0058123E">
        <w:rPr>
          <w:rFonts w:ascii="Arial" w:hAnsi="Arial" w:cs="Arial"/>
          <w:bCs/>
          <w:lang w:val="fr-CH"/>
        </w:rPr>
        <w:t xml:space="preserve">0,5 </w:t>
      </w:r>
      <w:r>
        <w:rPr>
          <w:rFonts w:ascii="Arial" w:hAnsi="Arial" w:cs="Arial"/>
          <w:bCs/>
          <w:lang w:val="fr-CH"/>
        </w:rPr>
        <w:t>million de m</w:t>
      </w:r>
      <w:r w:rsidRPr="00B03EF9">
        <w:rPr>
          <w:rFonts w:ascii="Arial" w:hAnsi="Arial" w:cs="Arial"/>
          <w:bCs/>
          <w:vertAlign w:val="superscript"/>
          <w:lang w:val="fr-CH"/>
        </w:rPr>
        <w:t>3</w:t>
      </w:r>
      <w:r>
        <w:rPr>
          <w:rFonts w:ascii="Arial" w:hAnsi="Arial" w:cs="Arial"/>
          <w:bCs/>
          <w:lang w:val="fr-CH"/>
        </w:rPr>
        <w:t>.</w:t>
      </w:r>
      <w:r w:rsidR="00B263E2" w:rsidRPr="0058123E">
        <w:rPr>
          <w:rFonts w:ascii="Arial" w:hAnsi="Arial" w:cs="Arial"/>
          <w:bCs/>
          <w:lang w:val="fr-CH"/>
        </w:rPr>
        <w:t xml:space="preserve"> </w:t>
      </w:r>
      <w:r w:rsidRPr="0058123E">
        <w:rPr>
          <w:rFonts w:ascii="Arial" w:hAnsi="Arial" w:cs="Arial"/>
          <w:bCs/>
          <w:lang w:val="fr-CH"/>
        </w:rPr>
        <w:t xml:space="preserve">Cette démarche </w:t>
      </w:r>
      <w:r w:rsidR="00B03EF9">
        <w:rPr>
          <w:rFonts w:ascii="Arial" w:hAnsi="Arial" w:cs="Arial"/>
          <w:bCs/>
          <w:lang w:val="fr-CH"/>
        </w:rPr>
        <w:t>porterait</w:t>
      </w:r>
      <w:r w:rsidRPr="0058123E">
        <w:rPr>
          <w:rFonts w:ascii="Arial" w:hAnsi="Arial" w:cs="Arial"/>
          <w:bCs/>
          <w:lang w:val="fr-CH"/>
        </w:rPr>
        <w:t xml:space="preserve"> le potentiel exploitable du bois</w:t>
      </w:r>
      <w:r>
        <w:rPr>
          <w:rFonts w:ascii="Arial" w:hAnsi="Arial" w:cs="Arial"/>
          <w:bCs/>
          <w:lang w:val="fr-CH"/>
        </w:rPr>
        <w:t xml:space="preserve"> pour les chauffages supplémentaires à environ</w:t>
      </w:r>
      <w:r w:rsidR="00A3354A" w:rsidRPr="0058123E">
        <w:rPr>
          <w:rFonts w:ascii="Arial" w:hAnsi="Arial" w:cs="Arial"/>
          <w:bCs/>
          <w:lang w:val="fr-CH"/>
        </w:rPr>
        <w:t xml:space="preserve"> 2 </w:t>
      </w:r>
      <w:r>
        <w:rPr>
          <w:rFonts w:ascii="Arial" w:hAnsi="Arial" w:cs="Arial"/>
          <w:bCs/>
          <w:lang w:val="fr-CH"/>
        </w:rPr>
        <w:t>millions de m</w:t>
      </w:r>
      <w:r w:rsidRPr="006C63EB">
        <w:rPr>
          <w:rFonts w:ascii="Arial" w:hAnsi="Arial" w:cs="Arial"/>
          <w:bCs/>
          <w:vertAlign w:val="superscript"/>
          <w:lang w:val="fr-CH"/>
        </w:rPr>
        <w:t>3</w:t>
      </w:r>
      <w:r w:rsidR="00A3354A" w:rsidRPr="0058123E">
        <w:rPr>
          <w:rFonts w:ascii="Arial" w:hAnsi="Arial" w:cs="Arial"/>
          <w:bCs/>
          <w:lang w:val="fr-CH"/>
        </w:rPr>
        <w:t>.</w:t>
      </w:r>
      <w:r w:rsidR="00B263E2" w:rsidRPr="0058123E">
        <w:rPr>
          <w:rFonts w:ascii="Arial" w:hAnsi="Arial" w:cs="Arial"/>
          <w:bCs/>
          <w:lang w:val="fr-CH"/>
        </w:rPr>
        <w:t xml:space="preserve"> </w:t>
      </w:r>
      <w:r w:rsidRPr="0058123E">
        <w:rPr>
          <w:rFonts w:ascii="Arial" w:hAnsi="Arial" w:cs="Arial"/>
          <w:bCs/>
          <w:lang w:val="fr-CH"/>
        </w:rPr>
        <w:t>Quant au réchauffement climatique, il va également se traduire par un</w:t>
      </w:r>
      <w:r>
        <w:rPr>
          <w:rFonts w:ascii="Arial" w:hAnsi="Arial" w:cs="Arial"/>
          <w:bCs/>
          <w:lang w:val="fr-CH"/>
        </w:rPr>
        <w:t>e baisse de la consommation, bien qu’il soit difficile de quantifier cet effet.</w:t>
      </w:r>
    </w:p>
    <w:p w14:paraId="58B78745" w14:textId="77777777" w:rsidR="008C0CFB" w:rsidRPr="0058123E" w:rsidRDefault="008C0CFB" w:rsidP="00CA3912">
      <w:pPr>
        <w:spacing w:after="0"/>
        <w:rPr>
          <w:rFonts w:ascii="Arial" w:hAnsi="Arial" w:cs="Arial"/>
          <w:bCs/>
          <w:lang w:val="fr-CH"/>
        </w:rPr>
      </w:pPr>
    </w:p>
    <w:p w14:paraId="492A1489" w14:textId="01B1AF72" w:rsidR="00CA3912" w:rsidRPr="00F277DC" w:rsidRDefault="00F277DC" w:rsidP="00CA3912">
      <w:pPr>
        <w:spacing w:after="0"/>
        <w:rPr>
          <w:rFonts w:ascii="Arial" w:hAnsi="Arial" w:cs="Arial"/>
          <w:bCs/>
          <w:lang w:val="fr-CH"/>
        </w:rPr>
      </w:pPr>
      <w:r w:rsidRPr="00F277DC">
        <w:rPr>
          <w:rFonts w:ascii="Arial" w:hAnsi="Arial" w:cs="Arial"/>
          <w:b/>
          <w:lang w:val="fr-CH"/>
        </w:rPr>
        <w:t>Fixer les bonnes priorités pour l’exploitation</w:t>
      </w:r>
    </w:p>
    <w:p w14:paraId="448E38CC" w14:textId="77777777" w:rsidR="008C0CFB" w:rsidRPr="00F277DC" w:rsidRDefault="008C0CFB" w:rsidP="00CA3912">
      <w:pPr>
        <w:spacing w:after="0"/>
        <w:rPr>
          <w:rFonts w:ascii="Arial" w:hAnsi="Arial" w:cs="Arial"/>
          <w:bCs/>
          <w:lang w:val="fr-CH"/>
        </w:rPr>
      </w:pPr>
    </w:p>
    <w:p w14:paraId="0EFFFC25" w14:textId="25CDE5D2" w:rsidR="00731C26" w:rsidRPr="00F277DC" w:rsidRDefault="00F277DC" w:rsidP="00CA3912">
      <w:pPr>
        <w:spacing w:after="0"/>
        <w:rPr>
          <w:rFonts w:ascii="Arial" w:hAnsi="Arial" w:cs="Arial"/>
          <w:b/>
          <w:lang w:val="fr-CH"/>
        </w:rPr>
      </w:pPr>
      <w:r w:rsidRPr="00F277DC">
        <w:rPr>
          <w:rFonts w:ascii="Arial" w:hAnsi="Arial" w:cs="Arial"/>
          <w:bCs/>
          <w:lang w:val="fr-CH"/>
        </w:rPr>
        <w:t>Il convient de définir des priorités judicieuses pour les canaux</w:t>
      </w:r>
      <w:r>
        <w:rPr>
          <w:rFonts w:ascii="Arial" w:hAnsi="Arial" w:cs="Arial"/>
          <w:bCs/>
          <w:lang w:val="fr-CH"/>
        </w:rPr>
        <w:t xml:space="preserve"> de vente du potentiel restant. </w:t>
      </w:r>
      <w:r w:rsidR="00B03EF9">
        <w:rPr>
          <w:rFonts w:ascii="Arial" w:hAnsi="Arial" w:cs="Arial"/>
          <w:bCs/>
          <w:lang w:val="fr-CH"/>
        </w:rPr>
        <w:t xml:space="preserve">La priorité doit être accordée à une </w:t>
      </w:r>
      <w:r w:rsidRPr="00F277DC">
        <w:rPr>
          <w:rFonts w:ascii="Arial" w:hAnsi="Arial" w:cs="Arial"/>
          <w:bCs/>
          <w:lang w:val="fr-CH"/>
        </w:rPr>
        <w:t>utilisation décentralisée</w:t>
      </w:r>
      <w:r>
        <w:rPr>
          <w:rFonts w:ascii="Arial" w:hAnsi="Arial" w:cs="Arial"/>
          <w:bCs/>
          <w:lang w:val="fr-CH"/>
        </w:rPr>
        <w:t xml:space="preserve">. </w:t>
      </w:r>
      <w:r w:rsidRPr="00F277DC">
        <w:rPr>
          <w:rFonts w:ascii="Arial" w:hAnsi="Arial" w:cs="Arial"/>
          <w:bCs/>
          <w:lang w:val="fr-CH"/>
        </w:rPr>
        <w:t>Il faut éviter l’exploitation de très grandes installations (d’une puissa</w:t>
      </w:r>
      <w:r>
        <w:rPr>
          <w:rFonts w:ascii="Arial" w:hAnsi="Arial" w:cs="Arial"/>
          <w:bCs/>
          <w:lang w:val="fr-CH"/>
        </w:rPr>
        <w:t xml:space="preserve">nce supérieure à </w:t>
      </w:r>
      <w:r w:rsidR="002E16F1" w:rsidRPr="00F277DC">
        <w:rPr>
          <w:rFonts w:ascii="Arial" w:hAnsi="Arial" w:cs="Arial"/>
          <w:bCs/>
          <w:lang w:val="fr-CH"/>
        </w:rPr>
        <w:t>10</w:t>
      </w:r>
      <w:r w:rsidR="00B03EF9">
        <w:rPr>
          <w:rFonts w:ascii="Arial" w:hAnsi="Arial" w:cs="Arial"/>
          <w:bCs/>
          <w:lang w:val="fr-CH"/>
        </w:rPr>
        <w:t> </w:t>
      </w:r>
      <w:r w:rsidR="00731C26" w:rsidRPr="00F277DC">
        <w:rPr>
          <w:rFonts w:ascii="Arial" w:hAnsi="Arial" w:cs="Arial"/>
          <w:bCs/>
          <w:lang w:val="fr-CH"/>
        </w:rPr>
        <w:t>M</w:t>
      </w:r>
      <w:r>
        <w:rPr>
          <w:rFonts w:ascii="Arial" w:hAnsi="Arial" w:cs="Arial"/>
          <w:bCs/>
          <w:lang w:val="fr-CH"/>
        </w:rPr>
        <w:t>W</w:t>
      </w:r>
      <w:r w:rsidR="002E16F1" w:rsidRPr="00F277DC">
        <w:rPr>
          <w:rFonts w:ascii="Arial" w:hAnsi="Arial" w:cs="Arial"/>
          <w:bCs/>
          <w:lang w:val="fr-CH"/>
        </w:rPr>
        <w:t xml:space="preserve">) </w:t>
      </w:r>
      <w:r>
        <w:rPr>
          <w:rFonts w:ascii="Arial" w:hAnsi="Arial" w:cs="Arial"/>
          <w:bCs/>
          <w:lang w:val="fr-CH"/>
        </w:rPr>
        <w:t xml:space="preserve">parce qu’elles prolongent </w:t>
      </w:r>
      <w:r w:rsidR="00B03EF9">
        <w:rPr>
          <w:rFonts w:ascii="Arial" w:hAnsi="Arial" w:cs="Arial"/>
          <w:bCs/>
          <w:lang w:val="fr-CH"/>
        </w:rPr>
        <w:t>inutilement</w:t>
      </w:r>
      <w:r>
        <w:rPr>
          <w:rFonts w:ascii="Arial" w:hAnsi="Arial" w:cs="Arial"/>
          <w:bCs/>
          <w:lang w:val="fr-CH"/>
        </w:rPr>
        <w:t xml:space="preserve"> les </w:t>
      </w:r>
      <w:r w:rsidR="002E4ED3">
        <w:rPr>
          <w:rFonts w:ascii="Arial" w:hAnsi="Arial" w:cs="Arial"/>
          <w:bCs/>
          <w:lang w:val="fr-CH"/>
        </w:rPr>
        <w:t>distances</w:t>
      </w:r>
      <w:r>
        <w:rPr>
          <w:rFonts w:ascii="Arial" w:hAnsi="Arial" w:cs="Arial"/>
          <w:bCs/>
          <w:lang w:val="fr-CH"/>
        </w:rPr>
        <w:t xml:space="preserve"> de transport du bois et qu’elles posent des risques cumulés.</w:t>
      </w:r>
      <w:r w:rsidR="002E16F1" w:rsidRPr="00F277DC">
        <w:rPr>
          <w:rFonts w:ascii="Arial" w:hAnsi="Arial" w:cs="Arial"/>
          <w:bCs/>
          <w:lang w:val="fr-CH"/>
        </w:rPr>
        <w:t xml:space="preserve"> </w:t>
      </w:r>
      <w:r w:rsidRPr="00F277DC">
        <w:rPr>
          <w:rFonts w:ascii="Arial" w:hAnsi="Arial" w:cs="Arial"/>
          <w:bCs/>
          <w:lang w:val="fr-CH"/>
        </w:rPr>
        <w:t>L</w:t>
      </w:r>
      <w:r w:rsidR="002E4ED3">
        <w:rPr>
          <w:rFonts w:ascii="Arial" w:hAnsi="Arial" w:cs="Arial"/>
          <w:bCs/>
          <w:lang w:val="fr-CH"/>
        </w:rPr>
        <w:t>a puissance des</w:t>
      </w:r>
      <w:r w:rsidRPr="00F277DC">
        <w:rPr>
          <w:rFonts w:ascii="Arial" w:hAnsi="Arial" w:cs="Arial"/>
          <w:bCs/>
          <w:lang w:val="fr-CH"/>
        </w:rPr>
        <w:t xml:space="preserve"> systèmes à pellets</w:t>
      </w:r>
      <w:r w:rsidR="002E4ED3">
        <w:rPr>
          <w:rFonts w:ascii="Arial" w:hAnsi="Arial" w:cs="Arial"/>
          <w:bCs/>
          <w:lang w:val="fr-CH"/>
        </w:rPr>
        <w:t>,</w:t>
      </w:r>
      <w:r w:rsidRPr="00F277DC">
        <w:rPr>
          <w:rFonts w:ascii="Arial" w:hAnsi="Arial" w:cs="Arial"/>
          <w:bCs/>
          <w:lang w:val="fr-CH"/>
        </w:rPr>
        <w:t xml:space="preserve"> </w:t>
      </w:r>
      <w:r w:rsidR="002E4ED3">
        <w:rPr>
          <w:rFonts w:ascii="Arial" w:hAnsi="Arial" w:cs="Arial"/>
          <w:bCs/>
          <w:lang w:val="fr-CH"/>
        </w:rPr>
        <w:t xml:space="preserve">quant à elle, </w:t>
      </w:r>
      <w:r w:rsidRPr="00F277DC">
        <w:rPr>
          <w:rFonts w:ascii="Arial" w:hAnsi="Arial" w:cs="Arial"/>
          <w:bCs/>
          <w:lang w:val="fr-CH"/>
        </w:rPr>
        <w:t>ne devrai</w:t>
      </w:r>
      <w:r w:rsidR="002E4ED3">
        <w:rPr>
          <w:rFonts w:ascii="Arial" w:hAnsi="Arial" w:cs="Arial"/>
          <w:bCs/>
          <w:lang w:val="fr-CH"/>
        </w:rPr>
        <w:t>t</w:t>
      </w:r>
      <w:r w:rsidRPr="00F277DC">
        <w:rPr>
          <w:rFonts w:ascii="Arial" w:hAnsi="Arial" w:cs="Arial"/>
          <w:bCs/>
          <w:lang w:val="fr-CH"/>
        </w:rPr>
        <w:t xml:space="preserve"> pas dépasser </w:t>
      </w:r>
      <w:r w:rsidR="002E4ED3">
        <w:rPr>
          <w:rFonts w:ascii="Arial" w:hAnsi="Arial" w:cs="Arial"/>
          <w:bCs/>
          <w:lang w:val="fr-CH"/>
        </w:rPr>
        <w:t>les</w:t>
      </w:r>
      <w:r>
        <w:rPr>
          <w:rFonts w:ascii="Arial" w:hAnsi="Arial" w:cs="Arial"/>
          <w:bCs/>
          <w:lang w:val="fr-CH"/>
        </w:rPr>
        <w:t xml:space="preserve"> </w:t>
      </w:r>
      <w:r w:rsidR="00CA3912" w:rsidRPr="00F277DC">
        <w:rPr>
          <w:rFonts w:ascii="Arial" w:hAnsi="Arial" w:cs="Arial"/>
          <w:bCs/>
          <w:lang w:val="fr-CH"/>
        </w:rPr>
        <w:t>1000</w:t>
      </w:r>
      <w:r w:rsidR="002E4ED3">
        <w:rPr>
          <w:rFonts w:ascii="Arial" w:hAnsi="Arial" w:cs="Arial"/>
          <w:bCs/>
          <w:lang w:val="fr-CH"/>
        </w:rPr>
        <w:t> </w:t>
      </w:r>
      <w:r w:rsidR="00CA3912" w:rsidRPr="00F277DC">
        <w:rPr>
          <w:rFonts w:ascii="Arial" w:hAnsi="Arial" w:cs="Arial"/>
          <w:bCs/>
          <w:lang w:val="fr-CH"/>
        </w:rPr>
        <w:t xml:space="preserve">kW. </w:t>
      </w:r>
      <w:r w:rsidRPr="00F277DC">
        <w:rPr>
          <w:rFonts w:ascii="Arial" w:hAnsi="Arial" w:cs="Arial"/>
          <w:bCs/>
          <w:lang w:val="fr-CH"/>
        </w:rPr>
        <w:t>Par ailleurs, la production de granulé</w:t>
      </w:r>
      <w:r w:rsidR="002E4ED3">
        <w:rPr>
          <w:rFonts w:ascii="Arial" w:hAnsi="Arial" w:cs="Arial"/>
          <w:bCs/>
          <w:lang w:val="fr-CH"/>
        </w:rPr>
        <w:t>s</w:t>
      </w:r>
      <w:r w:rsidRPr="00F277DC">
        <w:rPr>
          <w:rFonts w:ascii="Arial" w:hAnsi="Arial" w:cs="Arial"/>
          <w:bCs/>
          <w:lang w:val="fr-CH"/>
        </w:rPr>
        <w:t xml:space="preserve"> </w:t>
      </w:r>
      <w:r w:rsidR="002E4ED3">
        <w:rPr>
          <w:rFonts w:ascii="Arial" w:hAnsi="Arial" w:cs="Arial"/>
          <w:bCs/>
          <w:lang w:val="fr-CH"/>
        </w:rPr>
        <w:t xml:space="preserve">directement </w:t>
      </w:r>
      <w:r w:rsidRPr="00F277DC">
        <w:rPr>
          <w:rFonts w:ascii="Arial" w:hAnsi="Arial" w:cs="Arial"/>
          <w:bCs/>
          <w:lang w:val="fr-CH"/>
        </w:rPr>
        <w:t xml:space="preserve">à partir de bois </w:t>
      </w:r>
      <w:r w:rsidR="002E4ED3">
        <w:rPr>
          <w:rFonts w:ascii="Arial" w:hAnsi="Arial" w:cs="Arial"/>
          <w:bCs/>
          <w:lang w:val="fr-CH"/>
        </w:rPr>
        <w:t>de forêt</w:t>
      </w:r>
      <w:r w:rsidRPr="00F277DC">
        <w:rPr>
          <w:rFonts w:ascii="Arial" w:hAnsi="Arial" w:cs="Arial"/>
          <w:bCs/>
          <w:lang w:val="fr-CH"/>
        </w:rPr>
        <w:t xml:space="preserve"> do</w:t>
      </w:r>
      <w:r>
        <w:rPr>
          <w:rFonts w:ascii="Arial" w:hAnsi="Arial" w:cs="Arial"/>
          <w:bCs/>
          <w:lang w:val="fr-CH"/>
        </w:rPr>
        <w:t>it figurer en seconde priorité seulement.</w:t>
      </w:r>
    </w:p>
    <w:p w14:paraId="6ECABB38" w14:textId="77777777" w:rsidR="005831E2" w:rsidRPr="00F277DC" w:rsidRDefault="005831E2" w:rsidP="00D03A0E">
      <w:pPr>
        <w:spacing w:after="0"/>
        <w:rPr>
          <w:rFonts w:ascii="Arial" w:hAnsi="Arial" w:cs="Arial"/>
          <w:bCs/>
          <w:lang w:val="fr-CH"/>
        </w:rPr>
      </w:pPr>
    </w:p>
    <w:p w14:paraId="0CD72AD7" w14:textId="05521AFA" w:rsidR="00D3749E" w:rsidRPr="00F277DC" w:rsidRDefault="002E4ED3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 xml:space="preserve">Dans tout le pays, </w:t>
      </w:r>
      <w:r w:rsidR="00F277DC" w:rsidRPr="00F277DC">
        <w:rPr>
          <w:rFonts w:ascii="Arial" w:hAnsi="Arial" w:cs="Arial"/>
          <w:bCs/>
          <w:lang w:val="fr-CH"/>
        </w:rPr>
        <w:t xml:space="preserve">Energie-bois Suisse a </w:t>
      </w:r>
      <w:r>
        <w:rPr>
          <w:rFonts w:ascii="Arial" w:hAnsi="Arial" w:cs="Arial"/>
          <w:bCs/>
          <w:lang w:val="fr-CH"/>
        </w:rPr>
        <w:t>récolté des données</w:t>
      </w:r>
      <w:r w:rsidR="00F277DC" w:rsidRPr="00F277DC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relatives à</w:t>
      </w:r>
      <w:r w:rsidR="00F277DC" w:rsidRPr="00F277DC">
        <w:rPr>
          <w:rFonts w:ascii="Arial" w:hAnsi="Arial" w:cs="Arial"/>
          <w:bCs/>
          <w:lang w:val="fr-CH"/>
        </w:rPr>
        <w:t xml:space="preserve"> des projets qui se trouvent en planific</w:t>
      </w:r>
      <w:r w:rsidR="00F277DC">
        <w:rPr>
          <w:rFonts w:ascii="Arial" w:hAnsi="Arial" w:cs="Arial"/>
          <w:bCs/>
          <w:lang w:val="fr-CH"/>
        </w:rPr>
        <w:t xml:space="preserve">ation concrète ou qui existent sous forme d’idées. </w:t>
      </w:r>
      <w:r w:rsidR="00F277DC" w:rsidRPr="0029636D">
        <w:rPr>
          <w:rFonts w:ascii="Arial" w:hAnsi="Arial" w:cs="Arial"/>
          <w:bCs/>
          <w:lang w:val="fr-CH"/>
        </w:rPr>
        <w:t xml:space="preserve">Résultat: </w:t>
      </w:r>
      <w:r>
        <w:rPr>
          <w:rFonts w:ascii="Arial" w:hAnsi="Arial" w:cs="Arial"/>
          <w:bCs/>
          <w:lang w:val="fr-CH"/>
        </w:rPr>
        <w:t>une énorme consommation</w:t>
      </w:r>
      <w:r w:rsidR="00F277DC" w:rsidRPr="0029636D">
        <w:rPr>
          <w:rFonts w:ascii="Arial" w:hAnsi="Arial" w:cs="Arial"/>
          <w:bCs/>
          <w:lang w:val="fr-CH"/>
        </w:rPr>
        <w:t xml:space="preserve"> future de bois.</w:t>
      </w:r>
      <w:r w:rsidR="00D3749E" w:rsidRPr="0029636D">
        <w:rPr>
          <w:rFonts w:ascii="Arial" w:hAnsi="Arial" w:cs="Arial"/>
          <w:bCs/>
          <w:lang w:val="fr-CH"/>
        </w:rPr>
        <w:t xml:space="preserve"> </w:t>
      </w:r>
      <w:r w:rsidR="00F277DC" w:rsidRPr="00F277DC">
        <w:rPr>
          <w:rFonts w:ascii="Arial" w:hAnsi="Arial" w:cs="Arial"/>
          <w:bCs/>
          <w:lang w:val="fr-CH"/>
        </w:rPr>
        <w:t xml:space="preserve">On connaît des projets concrets qui vont consommer près </w:t>
      </w:r>
      <w:r w:rsidR="00F277DC" w:rsidRPr="00F277DC">
        <w:rPr>
          <w:rFonts w:ascii="Arial" w:hAnsi="Arial" w:cs="Arial"/>
          <w:bCs/>
          <w:lang w:val="fr-CH"/>
        </w:rPr>
        <w:lastRenderedPageBreak/>
        <w:t>d’1</w:t>
      </w:r>
      <w:r>
        <w:rPr>
          <w:rFonts w:ascii="Arial" w:hAnsi="Arial" w:cs="Arial"/>
          <w:bCs/>
          <w:lang w:val="fr-CH"/>
        </w:rPr>
        <w:t> </w:t>
      </w:r>
      <w:r w:rsidR="00F277DC" w:rsidRPr="00F277DC">
        <w:rPr>
          <w:rFonts w:ascii="Arial" w:hAnsi="Arial" w:cs="Arial"/>
          <w:bCs/>
          <w:lang w:val="fr-CH"/>
        </w:rPr>
        <w:t>m</w:t>
      </w:r>
      <w:r w:rsidR="00A3354A" w:rsidRPr="00F277DC">
        <w:rPr>
          <w:rFonts w:ascii="Arial" w:hAnsi="Arial" w:cs="Arial"/>
          <w:bCs/>
          <w:lang w:val="fr-CH"/>
        </w:rPr>
        <w:t>illion</w:t>
      </w:r>
      <w:r w:rsidR="00D3749E" w:rsidRPr="00F277DC">
        <w:rPr>
          <w:rFonts w:ascii="Arial" w:hAnsi="Arial" w:cs="Arial"/>
          <w:bCs/>
          <w:lang w:val="fr-CH"/>
        </w:rPr>
        <w:t xml:space="preserve"> </w:t>
      </w:r>
      <w:r w:rsidR="00F277DC">
        <w:rPr>
          <w:rFonts w:ascii="Arial" w:hAnsi="Arial" w:cs="Arial"/>
          <w:bCs/>
          <w:lang w:val="fr-CH"/>
        </w:rPr>
        <w:t>de m</w:t>
      </w:r>
      <w:r w:rsidR="00F277DC" w:rsidRPr="006C63EB">
        <w:rPr>
          <w:rFonts w:ascii="Arial" w:hAnsi="Arial" w:cs="Arial"/>
          <w:bCs/>
          <w:vertAlign w:val="superscript"/>
          <w:lang w:val="fr-CH"/>
        </w:rPr>
        <w:t>3</w:t>
      </w:r>
      <w:r w:rsidR="00F277DC">
        <w:rPr>
          <w:rFonts w:ascii="Arial" w:hAnsi="Arial" w:cs="Arial"/>
          <w:bCs/>
          <w:lang w:val="fr-CH"/>
        </w:rPr>
        <w:t xml:space="preserve"> de bois-énergie par an. </w:t>
      </w:r>
      <w:r w:rsidR="00F277DC" w:rsidRPr="00F277DC">
        <w:rPr>
          <w:rFonts w:ascii="Arial" w:hAnsi="Arial" w:cs="Arial"/>
          <w:bCs/>
          <w:lang w:val="fr-CH"/>
        </w:rPr>
        <w:t>D</w:t>
      </w:r>
      <w:r>
        <w:rPr>
          <w:rFonts w:ascii="Arial" w:hAnsi="Arial" w:cs="Arial"/>
          <w:bCs/>
          <w:lang w:val="fr-CH"/>
        </w:rPr>
        <w:t>’autre</w:t>
      </w:r>
      <w:r w:rsidR="00F277DC" w:rsidRPr="00F277DC">
        <w:rPr>
          <w:rFonts w:ascii="Arial" w:hAnsi="Arial" w:cs="Arial"/>
          <w:bCs/>
          <w:lang w:val="fr-CH"/>
        </w:rPr>
        <w:t>s projets qui se trouvent au stade d’idée</w:t>
      </w:r>
      <w:r>
        <w:rPr>
          <w:rFonts w:ascii="Arial" w:hAnsi="Arial" w:cs="Arial"/>
          <w:bCs/>
          <w:lang w:val="fr-CH"/>
        </w:rPr>
        <w:t xml:space="preserve"> seulement</w:t>
      </w:r>
      <w:r w:rsidR="00F277DC" w:rsidRPr="00F277DC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sont susceptibles de consommer</w:t>
      </w:r>
      <w:r w:rsidR="00F277DC" w:rsidRPr="00F277DC">
        <w:rPr>
          <w:rFonts w:ascii="Arial" w:hAnsi="Arial" w:cs="Arial"/>
          <w:bCs/>
          <w:lang w:val="fr-CH"/>
        </w:rPr>
        <w:t xml:space="preserve"> un volume supplé</w:t>
      </w:r>
      <w:r w:rsidR="00F277DC">
        <w:rPr>
          <w:rFonts w:ascii="Arial" w:hAnsi="Arial" w:cs="Arial"/>
          <w:bCs/>
          <w:lang w:val="fr-CH"/>
        </w:rPr>
        <w:t xml:space="preserve">mentaire de </w:t>
      </w:r>
      <w:r w:rsidR="00A3354A" w:rsidRPr="00F277DC">
        <w:rPr>
          <w:rFonts w:ascii="Arial" w:hAnsi="Arial" w:cs="Arial"/>
          <w:bCs/>
          <w:lang w:val="fr-CH"/>
        </w:rPr>
        <w:t>90</w:t>
      </w:r>
      <w:r w:rsidR="00D3749E" w:rsidRPr="00F277DC">
        <w:rPr>
          <w:rFonts w:ascii="Arial" w:hAnsi="Arial" w:cs="Arial"/>
          <w:bCs/>
          <w:lang w:val="fr-CH"/>
        </w:rPr>
        <w:t>0</w:t>
      </w:r>
      <w:r w:rsidR="00F277DC">
        <w:rPr>
          <w:rFonts w:ascii="Arial" w:hAnsi="Arial" w:cs="Arial"/>
          <w:bCs/>
          <w:lang w:val="fr-CH"/>
        </w:rPr>
        <w:t> </w:t>
      </w:r>
      <w:r w:rsidR="00D3749E" w:rsidRPr="00F277DC">
        <w:rPr>
          <w:rFonts w:ascii="Arial" w:hAnsi="Arial" w:cs="Arial"/>
          <w:bCs/>
          <w:lang w:val="fr-CH"/>
        </w:rPr>
        <w:t xml:space="preserve">000 </w:t>
      </w:r>
      <w:r w:rsidR="00F277DC">
        <w:rPr>
          <w:rFonts w:ascii="Arial" w:hAnsi="Arial" w:cs="Arial"/>
          <w:bCs/>
          <w:lang w:val="fr-CH"/>
        </w:rPr>
        <w:t>m</w:t>
      </w:r>
      <w:r w:rsidR="00F277DC" w:rsidRPr="002E4ED3">
        <w:rPr>
          <w:rFonts w:ascii="Arial" w:hAnsi="Arial" w:cs="Arial"/>
          <w:bCs/>
          <w:vertAlign w:val="superscript"/>
          <w:lang w:val="fr-CH"/>
        </w:rPr>
        <w:t>3</w:t>
      </w:r>
      <w:r w:rsidR="00F277DC">
        <w:rPr>
          <w:rFonts w:ascii="Arial" w:hAnsi="Arial" w:cs="Arial"/>
          <w:bCs/>
          <w:lang w:val="fr-CH"/>
        </w:rPr>
        <w:t xml:space="preserve"> environ</w:t>
      </w:r>
      <w:r w:rsidR="00D3749E" w:rsidRPr="00F277DC">
        <w:rPr>
          <w:rFonts w:ascii="Arial" w:hAnsi="Arial" w:cs="Arial"/>
          <w:bCs/>
          <w:lang w:val="fr-CH"/>
        </w:rPr>
        <w:t>.</w:t>
      </w:r>
      <w:r w:rsidR="00225C0E" w:rsidRPr="00F277DC">
        <w:rPr>
          <w:rFonts w:ascii="Arial" w:hAnsi="Arial" w:cs="Arial"/>
          <w:bCs/>
          <w:lang w:val="fr-CH"/>
        </w:rPr>
        <w:t xml:space="preserve"> </w:t>
      </w:r>
      <w:r w:rsidR="00F277DC" w:rsidRPr="00F277DC">
        <w:rPr>
          <w:rFonts w:ascii="Arial" w:hAnsi="Arial" w:cs="Arial"/>
          <w:bCs/>
          <w:lang w:val="fr-CH"/>
        </w:rPr>
        <w:t xml:space="preserve">Le potentiel disponible permet de réaliser tous </w:t>
      </w:r>
      <w:r>
        <w:rPr>
          <w:rFonts w:ascii="Arial" w:hAnsi="Arial" w:cs="Arial"/>
          <w:bCs/>
          <w:lang w:val="fr-CH"/>
        </w:rPr>
        <w:t>c</w:t>
      </w:r>
      <w:r w:rsidR="00F277DC" w:rsidRPr="00F277DC">
        <w:rPr>
          <w:rFonts w:ascii="Arial" w:hAnsi="Arial" w:cs="Arial"/>
          <w:bCs/>
          <w:lang w:val="fr-CH"/>
        </w:rPr>
        <w:t xml:space="preserve">es projets </w:t>
      </w:r>
      <w:r>
        <w:rPr>
          <w:rFonts w:ascii="Arial" w:hAnsi="Arial" w:cs="Arial"/>
          <w:bCs/>
          <w:lang w:val="fr-CH"/>
        </w:rPr>
        <w:t>prévus</w:t>
      </w:r>
      <w:r w:rsidR="00F277DC" w:rsidRPr="00F277DC">
        <w:rPr>
          <w:rFonts w:ascii="Arial" w:hAnsi="Arial" w:cs="Arial"/>
          <w:bCs/>
          <w:lang w:val="fr-CH"/>
        </w:rPr>
        <w:t xml:space="preserve">, </w:t>
      </w:r>
      <w:r>
        <w:rPr>
          <w:rFonts w:ascii="Arial" w:hAnsi="Arial" w:cs="Arial"/>
          <w:bCs/>
          <w:lang w:val="fr-CH"/>
        </w:rPr>
        <w:t>de même</w:t>
      </w:r>
      <w:r w:rsidR="00F277DC" w:rsidRPr="00F277DC">
        <w:rPr>
          <w:rFonts w:ascii="Arial" w:hAnsi="Arial" w:cs="Arial"/>
          <w:bCs/>
          <w:lang w:val="fr-CH"/>
        </w:rPr>
        <w:t xml:space="preserve"> </w:t>
      </w:r>
      <w:r w:rsidR="00F277DC">
        <w:rPr>
          <w:rFonts w:ascii="Arial" w:hAnsi="Arial" w:cs="Arial"/>
          <w:bCs/>
          <w:lang w:val="fr-CH"/>
        </w:rPr>
        <w:t xml:space="preserve">que les idées de projets. </w:t>
      </w:r>
      <w:r>
        <w:rPr>
          <w:rFonts w:ascii="Arial" w:hAnsi="Arial" w:cs="Arial"/>
          <w:bCs/>
          <w:lang w:val="fr-CH"/>
        </w:rPr>
        <w:t>Le pays dispose</w:t>
      </w:r>
      <w:r w:rsidR="006C63EB" w:rsidRPr="006C63EB">
        <w:rPr>
          <w:rFonts w:ascii="Arial" w:hAnsi="Arial" w:cs="Arial"/>
          <w:bCs/>
          <w:lang w:val="fr-CH"/>
        </w:rPr>
        <w:t xml:space="preserve"> donc </w:t>
      </w:r>
      <w:r>
        <w:rPr>
          <w:rFonts w:ascii="Arial" w:hAnsi="Arial" w:cs="Arial"/>
          <w:bCs/>
          <w:lang w:val="fr-CH"/>
        </w:rPr>
        <w:t>d’</w:t>
      </w:r>
      <w:r w:rsidR="006C63EB" w:rsidRPr="006C63EB">
        <w:rPr>
          <w:rFonts w:ascii="Arial" w:hAnsi="Arial" w:cs="Arial"/>
          <w:bCs/>
          <w:lang w:val="fr-CH"/>
        </w:rPr>
        <w:t>une certaine marge de progression sa</w:t>
      </w:r>
      <w:r w:rsidR="006C63EB">
        <w:rPr>
          <w:rFonts w:ascii="Arial" w:hAnsi="Arial" w:cs="Arial"/>
          <w:bCs/>
          <w:lang w:val="fr-CH"/>
        </w:rPr>
        <w:t xml:space="preserve">ns </w:t>
      </w:r>
      <w:r w:rsidR="006C63EB" w:rsidRPr="006C63EB">
        <w:rPr>
          <w:rFonts w:ascii="Arial" w:hAnsi="Arial" w:cs="Arial"/>
          <w:bCs/>
          <w:lang w:val="fr-CH"/>
        </w:rPr>
        <w:t>concurrencer l</w:t>
      </w:r>
      <w:r>
        <w:rPr>
          <w:rFonts w:ascii="Arial" w:hAnsi="Arial" w:cs="Arial"/>
          <w:bCs/>
          <w:lang w:val="fr-CH"/>
        </w:rPr>
        <w:t>’</w:t>
      </w:r>
      <w:r w:rsidR="006C63EB" w:rsidRPr="006C63EB">
        <w:rPr>
          <w:rFonts w:ascii="Arial" w:hAnsi="Arial" w:cs="Arial"/>
          <w:bCs/>
          <w:lang w:val="fr-CH"/>
        </w:rPr>
        <w:t xml:space="preserve">utilisation </w:t>
      </w:r>
      <w:r>
        <w:rPr>
          <w:rFonts w:ascii="Arial" w:hAnsi="Arial" w:cs="Arial"/>
          <w:bCs/>
          <w:lang w:val="fr-CH"/>
        </w:rPr>
        <w:t xml:space="preserve">matérielle </w:t>
      </w:r>
      <w:r w:rsidR="006C63EB" w:rsidRPr="006C63EB">
        <w:rPr>
          <w:rFonts w:ascii="Arial" w:hAnsi="Arial" w:cs="Arial"/>
          <w:bCs/>
          <w:lang w:val="fr-CH"/>
        </w:rPr>
        <w:t>du bois ou surexploiter la forêt</w:t>
      </w:r>
      <w:r w:rsidR="00694735" w:rsidRPr="006C63EB">
        <w:rPr>
          <w:rFonts w:ascii="Arial" w:hAnsi="Arial" w:cs="Arial"/>
          <w:bCs/>
          <w:lang w:val="fr-CH"/>
        </w:rPr>
        <w:t xml:space="preserve">. </w:t>
      </w:r>
    </w:p>
    <w:p w14:paraId="50AEDC7D" w14:textId="77777777" w:rsidR="00225C0E" w:rsidRPr="006C63EB" w:rsidRDefault="00225C0E" w:rsidP="00D03A0E">
      <w:pPr>
        <w:spacing w:after="0"/>
        <w:rPr>
          <w:rFonts w:ascii="Arial" w:hAnsi="Arial" w:cs="Arial"/>
          <w:bCs/>
          <w:lang w:val="fr-CH"/>
        </w:rPr>
      </w:pPr>
    </w:p>
    <w:p w14:paraId="7D18279F" w14:textId="6A29209F" w:rsidR="00D3749E" w:rsidRPr="006C63EB" w:rsidRDefault="002E4ED3" w:rsidP="00D03A0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 xml:space="preserve">Afin de </w:t>
      </w:r>
      <w:r w:rsidRPr="006C63EB">
        <w:rPr>
          <w:rFonts w:ascii="Arial" w:hAnsi="Arial" w:cs="Arial"/>
          <w:bCs/>
          <w:lang w:val="fr-CH"/>
        </w:rPr>
        <w:t>garantir qu</w:t>
      </w:r>
      <w:r>
        <w:rPr>
          <w:rFonts w:ascii="Arial" w:hAnsi="Arial" w:cs="Arial"/>
          <w:bCs/>
          <w:lang w:val="fr-CH"/>
        </w:rPr>
        <w:t>e l’</w:t>
      </w:r>
      <w:r w:rsidRPr="006C63EB">
        <w:rPr>
          <w:rFonts w:ascii="Arial" w:hAnsi="Arial" w:cs="Arial"/>
          <w:bCs/>
          <w:lang w:val="fr-CH"/>
        </w:rPr>
        <w:t xml:space="preserve">exploitation complète du potentiel disponible </w:t>
      </w:r>
      <w:r>
        <w:rPr>
          <w:rFonts w:ascii="Arial" w:hAnsi="Arial" w:cs="Arial"/>
          <w:bCs/>
          <w:lang w:val="fr-CH"/>
        </w:rPr>
        <w:t>se fasse de manière ordonnée,</w:t>
      </w:r>
      <w:r w:rsidRPr="006C63EB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u</w:t>
      </w:r>
      <w:r w:rsidR="006C63EB" w:rsidRPr="006C63EB">
        <w:rPr>
          <w:rFonts w:ascii="Arial" w:hAnsi="Arial" w:cs="Arial"/>
          <w:bCs/>
          <w:lang w:val="fr-CH"/>
        </w:rPr>
        <w:t xml:space="preserve">n monitoring national </w:t>
      </w:r>
      <w:r>
        <w:rPr>
          <w:rFonts w:ascii="Arial" w:hAnsi="Arial" w:cs="Arial"/>
          <w:bCs/>
          <w:lang w:val="fr-CH"/>
        </w:rPr>
        <w:t>régulier au niveau national s’impose</w:t>
      </w:r>
      <w:r w:rsidR="006C63EB">
        <w:rPr>
          <w:rFonts w:ascii="Arial" w:hAnsi="Arial" w:cs="Arial"/>
          <w:bCs/>
          <w:lang w:val="fr-CH"/>
        </w:rPr>
        <w:t xml:space="preserve">. </w:t>
      </w:r>
      <w:r w:rsidR="006C63EB" w:rsidRPr="006C63EB">
        <w:rPr>
          <w:rFonts w:ascii="Arial" w:hAnsi="Arial" w:cs="Arial"/>
          <w:bCs/>
          <w:lang w:val="fr-CH"/>
        </w:rPr>
        <w:t>En effet, il convient de respecter la loi régissant un développement durable et l’utilisation d</w:t>
      </w:r>
      <w:r w:rsidR="006C63EB">
        <w:rPr>
          <w:rFonts w:ascii="Arial" w:hAnsi="Arial" w:cs="Arial"/>
          <w:bCs/>
          <w:lang w:val="fr-CH"/>
        </w:rPr>
        <w:t xml:space="preserve">u bois en tant que matière de construction pour </w:t>
      </w:r>
      <w:r>
        <w:rPr>
          <w:rFonts w:ascii="Arial" w:hAnsi="Arial" w:cs="Arial"/>
          <w:bCs/>
          <w:lang w:val="fr-CH"/>
        </w:rPr>
        <w:t>la</w:t>
      </w:r>
      <w:r w:rsidR="006C63EB">
        <w:rPr>
          <w:rFonts w:ascii="Arial" w:hAnsi="Arial" w:cs="Arial"/>
          <w:bCs/>
          <w:lang w:val="fr-CH"/>
        </w:rPr>
        <w:t xml:space="preserve"> séquestration du CO</w:t>
      </w:r>
      <w:r w:rsidR="006C63EB" w:rsidRPr="006C63EB">
        <w:rPr>
          <w:rFonts w:ascii="Arial" w:hAnsi="Arial" w:cs="Arial"/>
          <w:bCs/>
          <w:vertAlign w:val="subscript"/>
          <w:lang w:val="fr-CH"/>
        </w:rPr>
        <w:t>2</w:t>
      </w:r>
      <w:r w:rsidR="006C63EB">
        <w:rPr>
          <w:rFonts w:ascii="Arial" w:hAnsi="Arial" w:cs="Arial"/>
          <w:bCs/>
          <w:lang w:val="fr-CH"/>
        </w:rPr>
        <w:t xml:space="preserve"> à long terme. </w:t>
      </w:r>
      <w:r>
        <w:rPr>
          <w:rFonts w:ascii="Arial" w:hAnsi="Arial" w:cs="Arial"/>
          <w:bCs/>
          <w:lang w:val="fr-CH"/>
        </w:rPr>
        <w:t>En parallèle</w:t>
      </w:r>
      <w:r w:rsidR="006C63EB" w:rsidRPr="006C63EB">
        <w:rPr>
          <w:rFonts w:ascii="Arial" w:hAnsi="Arial" w:cs="Arial"/>
          <w:bCs/>
          <w:lang w:val="fr-CH"/>
        </w:rPr>
        <w:t xml:space="preserve">, </w:t>
      </w:r>
      <w:r>
        <w:rPr>
          <w:rFonts w:ascii="Arial" w:hAnsi="Arial" w:cs="Arial"/>
          <w:bCs/>
          <w:lang w:val="fr-CH"/>
        </w:rPr>
        <w:t>toute</w:t>
      </w:r>
      <w:r w:rsidR="006C63EB" w:rsidRPr="006C63EB">
        <w:rPr>
          <w:rFonts w:ascii="Arial" w:hAnsi="Arial" w:cs="Arial"/>
          <w:bCs/>
          <w:lang w:val="fr-CH"/>
        </w:rPr>
        <w:t xml:space="preserve"> future importation à grande échelle</w:t>
      </w:r>
      <w:r>
        <w:rPr>
          <w:rFonts w:ascii="Arial" w:hAnsi="Arial" w:cs="Arial"/>
          <w:bCs/>
          <w:lang w:val="fr-CH"/>
        </w:rPr>
        <w:t xml:space="preserve"> doit être vue d’un œil critique</w:t>
      </w:r>
      <w:r w:rsidR="006C63EB">
        <w:rPr>
          <w:rFonts w:ascii="Arial" w:hAnsi="Arial" w:cs="Arial"/>
          <w:bCs/>
          <w:lang w:val="fr-CH"/>
        </w:rPr>
        <w:t xml:space="preserve">, car </w:t>
      </w:r>
      <w:r>
        <w:rPr>
          <w:rFonts w:ascii="Arial" w:hAnsi="Arial" w:cs="Arial"/>
          <w:bCs/>
          <w:lang w:val="fr-CH"/>
        </w:rPr>
        <w:t>nos</w:t>
      </w:r>
      <w:r w:rsidR="006C63EB">
        <w:rPr>
          <w:rFonts w:ascii="Arial" w:hAnsi="Arial" w:cs="Arial"/>
          <w:bCs/>
          <w:lang w:val="fr-CH"/>
        </w:rPr>
        <w:t xml:space="preserve"> pays </w:t>
      </w:r>
      <w:r>
        <w:rPr>
          <w:rFonts w:ascii="Arial" w:hAnsi="Arial" w:cs="Arial"/>
          <w:bCs/>
          <w:lang w:val="fr-CH"/>
        </w:rPr>
        <w:t xml:space="preserve">voisins </w:t>
      </w:r>
      <w:r w:rsidR="006C63EB">
        <w:rPr>
          <w:rFonts w:ascii="Arial" w:hAnsi="Arial" w:cs="Arial"/>
          <w:bCs/>
          <w:lang w:val="fr-CH"/>
        </w:rPr>
        <w:t xml:space="preserve">vont avoir </w:t>
      </w:r>
      <w:r>
        <w:rPr>
          <w:rFonts w:ascii="Arial" w:hAnsi="Arial" w:cs="Arial"/>
          <w:bCs/>
          <w:lang w:val="fr-CH"/>
        </w:rPr>
        <w:t xml:space="preserve">eux aussi </w:t>
      </w:r>
      <w:r w:rsidR="006C63EB">
        <w:rPr>
          <w:rFonts w:ascii="Arial" w:hAnsi="Arial" w:cs="Arial"/>
          <w:bCs/>
          <w:lang w:val="fr-CH"/>
        </w:rPr>
        <w:t xml:space="preserve">besoin de leur bois. </w:t>
      </w:r>
      <w:r w:rsidR="006C63EB" w:rsidRPr="006C63EB">
        <w:rPr>
          <w:rFonts w:ascii="Arial" w:hAnsi="Arial" w:cs="Arial"/>
          <w:bCs/>
          <w:lang w:val="fr-CH"/>
        </w:rPr>
        <w:t xml:space="preserve">Le monitoring bois-énergie </w:t>
      </w:r>
      <w:r>
        <w:rPr>
          <w:rFonts w:ascii="Arial" w:hAnsi="Arial" w:cs="Arial"/>
          <w:bCs/>
          <w:lang w:val="fr-CH"/>
        </w:rPr>
        <w:t>pourra</w:t>
      </w:r>
      <w:r w:rsidR="006C63EB" w:rsidRPr="006C63EB">
        <w:rPr>
          <w:rFonts w:ascii="Arial" w:hAnsi="Arial" w:cs="Arial"/>
          <w:bCs/>
          <w:lang w:val="fr-CH"/>
        </w:rPr>
        <w:t xml:space="preserve"> apporter une contribution importante à </w:t>
      </w:r>
      <w:r>
        <w:rPr>
          <w:rFonts w:ascii="Arial" w:hAnsi="Arial" w:cs="Arial"/>
          <w:bCs/>
          <w:lang w:val="fr-CH"/>
        </w:rPr>
        <w:t>l’</w:t>
      </w:r>
      <w:r w:rsidR="006C63EB" w:rsidRPr="006C63EB">
        <w:rPr>
          <w:rFonts w:ascii="Arial" w:hAnsi="Arial" w:cs="Arial"/>
          <w:bCs/>
          <w:lang w:val="fr-CH"/>
        </w:rPr>
        <w:t xml:space="preserve">utilisation efficace </w:t>
      </w:r>
      <w:r w:rsidR="00FD7F00">
        <w:rPr>
          <w:rFonts w:ascii="Arial" w:hAnsi="Arial" w:cs="Arial"/>
          <w:bCs/>
          <w:lang w:val="fr-CH"/>
        </w:rPr>
        <w:t xml:space="preserve">de ce combustible </w:t>
      </w:r>
      <w:r w:rsidR="006C63EB">
        <w:rPr>
          <w:rFonts w:ascii="Arial" w:hAnsi="Arial" w:cs="Arial"/>
          <w:bCs/>
          <w:lang w:val="fr-CH"/>
        </w:rPr>
        <w:t xml:space="preserve">et </w:t>
      </w:r>
      <w:r w:rsidR="00FD7F00">
        <w:rPr>
          <w:rFonts w:ascii="Arial" w:hAnsi="Arial" w:cs="Arial"/>
          <w:bCs/>
          <w:lang w:val="fr-CH"/>
        </w:rPr>
        <w:t>donner</w:t>
      </w:r>
      <w:r w:rsidR="006C63EB">
        <w:rPr>
          <w:rFonts w:ascii="Arial" w:hAnsi="Arial" w:cs="Arial"/>
          <w:bCs/>
          <w:lang w:val="fr-CH"/>
        </w:rPr>
        <w:t xml:space="preserve"> des impulsions pour ou contre </w:t>
      </w:r>
      <w:r w:rsidR="00FD7F00">
        <w:rPr>
          <w:rFonts w:ascii="Arial" w:hAnsi="Arial" w:cs="Arial"/>
          <w:bCs/>
          <w:lang w:val="fr-CH"/>
        </w:rPr>
        <w:t>certaines nouvelles</w:t>
      </w:r>
      <w:r w:rsidR="006C63EB">
        <w:rPr>
          <w:rFonts w:ascii="Arial" w:hAnsi="Arial" w:cs="Arial"/>
          <w:bCs/>
          <w:lang w:val="fr-CH"/>
        </w:rPr>
        <w:t xml:space="preserve"> applications. </w:t>
      </w:r>
      <w:r w:rsidR="006C63EB" w:rsidRPr="006C63EB">
        <w:rPr>
          <w:rFonts w:ascii="Arial" w:hAnsi="Arial" w:cs="Arial"/>
          <w:bCs/>
          <w:lang w:val="fr-CH"/>
        </w:rPr>
        <w:t xml:space="preserve">Parmi celles-ci figurent notamment la production de chaleur </w:t>
      </w:r>
      <w:r w:rsidR="00FD7F00">
        <w:rPr>
          <w:rFonts w:ascii="Arial" w:hAnsi="Arial" w:cs="Arial"/>
          <w:bCs/>
          <w:lang w:val="fr-CH"/>
        </w:rPr>
        <w:t>pour processus industriels</w:t>
      </w:r>
      <w:r w:rsidR="006C63EB" w:rsidRPr="006C63EB">
        <w:rPr>
          <w:rFonts w:ascii="Arial" w:hAnsi="Arial" w:cs="Arial"/>
          <w:bCs/>
          <w:lang w:val="fr-CH"/>
        </w:rPr>
        <w:t xml:space="preserve"> et d’électricité </w:t>
      </w:r>
      <w:r w:rsidR="00FD7F00">
        <w:rPr>
          <w:rFonts w:ascii="Arial" w:hAnsi="Arial" w:cs="Arial"/>
          <w:bCs/>
          <w:lang w:val="fr-CH"/>
        </w:rPr>
        <w:t>et</w:t>
      </w:r>
      <w:r w:rsidR="006C63EB" w:rsidRPr="006C63EB">
        <w:rPr>
          <w:rFonts w:ascii="Arial" w:hAnsi="Arial" w:cs="Arial"/>
          <w:bCs/>
          <w:lang w:val="fr-CH"/>
        </w:rPr>
        <w:t xml:space="preserve"> peut-être la pr</w:t>
      </w:r>
      <w:r w:rsidR="006C63EB">
        <w:rPr>
          <w:rFonts w:ascii="Arial" w:hAnsi="Arial" w:cs="Arial"/>
          <w:bCs/>
          <w:lang w:val="fr-CH"/>
        </w:rPr>
        <w:t>oduction de charbon végétal</w:t>
      </w:r>
      <w:r w:rsidR="00FD7F00">
        <w:rPr>
          <w:rFonts w:ascii="Arial" w:hAnsi="Arial" w:cs="Arial"/>
          <w:bCs/>
          <w:lang w:val="fr-CH"/>
        </w:rPr>
        <w:t>, ainsi que</w:t>
      </w:r>
      <w:r w:rsidR="006C63EB">
        <w:rPr>
          <w:rFonts w:ascii="Arial" w:hAnsi="Arial" w:cs="Arial"/>
          <w:bCs/>
          <w:lang w:val="fr-CH"/>
        </w:rPr>
        <w:t xml:space="preserve">, à long terme, </w:t>
      </w:r>
      <w:r w:rsidR="00FD7F00">
        <w:rPr>
          <w:rFonts w:ascii="Arial" w:hAnsi="Arial" w:cs="Arial"/>
          <w:bCs/>
          <w:lang w:val="fr-CH"/>
        </w:rPr>
        <w:t>l’utilisation du</w:t>
      </w:r>
      <w:r w:rsidR="006C63EB">
        <w:rPr>
          <w:rFonts w:ascii="Arial" w:hAnsi="Arial" w:cs="Arial"/>
          <w:bCs/>
          <w:lang w:val="fr-CH"/>
        </w:rPr>
        <w:t xml:space="preserve"> bois</w:t>
      </w:r>
      <w:r w:rsidR="00FD7F00">
        <w:rPr>
          <w:rFonts w:ascii="Arial" w:hAnsi="Arial" w:cs="Arial"/>
          <w:bCs/>
          <w:lang w:val="fr-CH"/>
        </w:rPr>
        <w:t xml:space="preserve"> pour produire de l’hydrogène</w:t>
      </w:r>
      <w:r w:rsidR="00F01275" w:rsidRPr="006C63EB">
        <w:rPr>
          <w:rFonts w:ascii="Arial" w:hAnsi="Arial" w:cs="Arial"/>
          <w:bCs/>
          <w:lang w:val="fr-CH"/>
        </w:rPr>
        <w:t>.</w:t>
      </w:r>
      <w:r w:rsidR="004566B0" w:rsidRPr="006C63EB">
        <w:rPr>
          <w:rFonts w:ascii="Arial" w:hAnsi="Arial" w:cs="Arial"/>
          <w:bCs/>
          <w:lang w:val="fr-CH"/>
        </w:rPr>
        <w:t xml:space="preserve"> </w:t>
      </w:r>
    </w:p>
    <w:p w14:paraId="03B32085" w14:textId="77777777" w:rsidR="00EE76CA" w:rsidRPr="006C63EB" w:rsidRDefault="00EE76CA" w:rsidP="00D03A0E">
      <w:pPr>
        <w:spacing w:after="0"/>
        <w:rPr>
          <w:rFonts w:ascii="Arial" w:hAnsi="Arial" w:cs="Arial"/>
          <w:bCs/>
          <w:lang w:val="fr-CH"/>
        </w:rPr>
      </w:pPr>
    </w:p>
    <w:p w14:paraId="3D70CDF7" w14:textId="77777777" w:rsidR="008D4630" w:rsidRPr="006C63EB" w:rsidRDefault="008D4630" w:rsidP="009E06BE">
      <w:pPr>
        <w:spacing w:after="0"/>
        <w:rPr>
          <w:rFonts w:ascii="Arial" w:hAnsi="Arial" w:cs="Arial"/>
          <w:bCs/>
          <w:lang w:val="fr-CH"/>
        </w:rPr>
      </w:pPr>
    </w:p>
    <w:p w14:paraId="6F9F65D7" w14:textId="658050D9" w:rsidR="006F21B2" w:rsidRPr="009C0C0B" w:rsidRDefault="009C0C0B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</w:p>
    <w:p w14:paraId="5112DE25" w14:textId="12756D64" w:rsidR="006F21B2" w:rsidRPr="0058123E" w:rsidRDefault="009C0C0B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 «chaleur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58123E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5CE49A08" w:rsidR="00833DB0" w:rsidRPr="0058123E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8123E">
        <w:rPr>
          <w:rFonts w:ascii="Arial" w:hAnsi="Arial" w:cs="Arial"/>
          <w:i/>
          <w:sz w:val="20"/>
          <w:lang w:val="fr-CH"/>
        </w:rPr>
        <w:t>Aut</w:t>
      </w:r>
      <w:r w:rsidR="009C0C0B" w:rsidRPr="0058123E">
        <w:rPr>
          <w:rFonts w:ascii="Arial" w:hAnsi="Arial" w:cs="Arial"/>
          <w:i/>
          <w:sz w:val="20"/>
          <w:lang w:val="fr-CH"/>
        </w:rPr>
        <w:t>eu</w:t>
      </w:r>
      <w:r w:rsidRPr="0058123E">
        <w:rPr>
          <w:rFonts w:ascii="Arial" w:hAnsi="Arial" w:cs="Arial"/>
          <w:i/>
          <w:sz w:val="20"/>
          <w:lang w:val="fr-CH"/>
        </w:rPr>
        <w:t>r:</w:t>
      </w:r>
    </w:p>
    <w:p w14:paraId="699E473D" w14:textId="7A3E7C54" w:rsidR="00833DB0" w:rsidRPr="0058123E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58123E">
        <w:rPr>
          <w:rFonts w:ascii="Arial" w:hAnsi="Arial" w:cs="Arial"/>
          <w:i/>
          <w:sz w:val="20"/>
          <w:lang w:val="fr-CH"/>
        </w:rPr>
        <w:t>Christoph Rutschmann</w:t>
      </w:r>
    </w:p>
    <w:p w14:paraId="473A7BDC" w14:textId="77777777" w:rsidR="009C0C0B" w:rsidRPr="003D7117" w:rsidRDefault="009C0C0B" w:rsidP="009C0C0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781FD0B7" w14:textId="29AE77FF" w:rsidR="00833DB0" w:rsidRPr="009C0C0B" w:rsidRDefault="009C0C0B" w:rsidP="009C0C0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Neugasse 10</w:t>
      </w:r>
    </w:p>
    <w:p w14:paraId="7382F8AF" w14:textId="788D2E79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8005 Z</w:t>
      </w:r>
      <w:r w:rsidR="009C0C0B">
        <w:rPr>
          <w:rFonts w:ascii="Arial" w:hAnsi="Arial" w:cs="Arial"/>
          <w:i/>
          <w:sz w:val="20"/>
        </w:rPr>
        <w:t>u</w:t>
      </w:r>
      <w:r w:rsidRPr="008C0CFB">
        <w:rPr>
          <w:rFonts w:ascii="Arial" w:hAnsi="Arial" w:cs="Arial"/>
          <w:i/>
          <w:sz w:val="20"/>
        </w:rPr>
        <w:t>rich</w:t>
      </w:r>
    </w:p>
    <w:p w14:paraId="028B4D6F" w14:textId="0F3B8C1C" w:rsidR="00833DB0" w:rsidRPr="008C0CFB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T</w:t>
      </w:r>
      <w:r w:rsidR="009C0C0B">
        <w:rPr>
          <w:rFonts w:ascii="Arial" w:hAnsi="Arial" w:cs="Arial"/>
          <w:i/>
          <w:sz w:val="20"/>
        </w:rPr>
        <w:t>é</w:t>
      </w:r>
      <w:r w:rsidRPr="008C0CFB">
        <w:rPr>
          <w:rFonts w:ascii="Arial" w:hAnsi="Arial" w:cs="Arial"/>
          <w:i/>
          <w:sz w:val="20"/>
        </w:rPr>
        <w:t>l</w:t>
      </w:r>
      <w:r w:rsidR="009C0C0B">
        <w:rPr>
          <w:rFonts w:ascii="Arial" w:hAnsi="Arial" w:cs="Arial"/>
          <w:i/>
          <w:sz w:val="20"/>
        </w:rPr>
        <w:t>.</w:t>
      </w:r>
      <w:r w:rsidR="00833DB0" w:rsidRPr="008C0CFB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Pr="008C0CFB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12478988" w:rsidR="006F21B2" w:rsidRPr="008C0CFB" w:rsidRDefault="009C0C0B" w:rsidP="00442798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676"/>
        <w:gridCol w:w="6930"/>
      </w:tblGrid>
      <w:tr w:rsidR="00C35C28" w:rsidRPr="0029636D" w14:paraId="6206EEEF" w14:textId="77777777" w:rsidTr="004C2312">
        <w:tc>
          <w:tcPr>
            <w:tcW w:w="2122" w:type="dxa"/>
          </w:tcPr>
          <w:p w14:paraId="64C3F049" w14:textId="216D0750" w:rsidR="00C35C28" w:rsidRPr="008C0CFB" w:rsidRDefault="00C35C28" w:rsidP="004C2312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BE505E" wp14:editId="74C623A6">
                  <wp:extent cx="1562519" cy="1058897"/>
                  <wp:effectExtent l="0" t="0" r="0" b="8255"/>
                  <wp:docPr id="17674735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47353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77" cy="107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4BE5FE8E" w14:textId="5BA88017" w:rsidR="00C35C28" w:rsidRPr="00FD7F00" w:rsidRDefault="009C0C0B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FD7F00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C35C28" w:rsidRPr="00FD7F00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C35C28" w:rsidRPr="00FD7F00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16365DA" w14:textId="77777777" w:rsidR="00C35C28" w:rsidRPr="00FD7F00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D4734FC" w14:textId="46D550BF" w:rsidR="00C35C28" w:rsidRPr="006C63EB" w:rsidRDefault="006C63EB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6C63EB">
              <w:rPr>
                <w:rFonts w:ascii="Arial" w:hAnsi="Arial" w:cs="Arial"/>
                <w:i/>
                <w:sz w:val="20"/>
                <w:lang w:val="fr-CH"/>
              </w:rPr>
              <w:t>Le m</w:t>
            </w:r>
            <w:r w:rsidR="00C35C28" w:rsidRPr="006C63EB">
              <w:rPr>
                <w:rFonts w:ascii="Arial" w:hAnsi="Arial" w:cs="Arial"/>
                <w:i/>
                <w:sz w:val="20"/>
                <w:lang w:val="fr-CH"/>
              </w:rPr>
              <w:t xml:space="preserve">onitoring </w:t>
            </w:r>
            <w:r w:rsidRPr="006C63EB">
              <w:rPr>
                <w:rFonts w:ascii="Arial" w:hAnsi="Arial" w:cs="Arial"/>
                <w:i/>
                <w:sz w:val="20"/>
                <w:lang w:val="fr-CH"/>
              </w:rPr>
              <w:t>bois-énergie en Suisse</w:t>
            </w:r>
            <w:r w:rsidR="00C35C28" w:rsidRPr="006C63EB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Pr="006C63EB">
              <w:rPr>
                <w:rFonts w:ascii="Arial" w:hAnsi="Arial" w:cs="Arial"/>
                <w:i/>
                <w:sz w:val="20"/>
                <w:lang w:val="fr-CH"/>
              </w:rPr>
              <w:t>garantir que le bois-énergie soit utilisé de manièr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 durable et efficace</w:t>
            </w:r>
            <w:r w:rsidR="00C35C28" w:rsidRPr="006C63E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FC88AC0" w14:textId="77777777" w:rsidR="00C35C28" w:rsidRPr="006C63EB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B7FD479" w14:textId="5CE2D575" w:rsidR="00C35C28" w:rsidRPr="009C0C0B" w:rsidRDefault="009C0C0B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542A44">
              <w:rPr>
                <w:rFonts w:ascii="Arial" w:hAnsi="Arial" w:cs="Arial"/>
                <w:i/>
                <w:sz w:val="20"/>
                <w:lang w:val="fr-CH"/>
              </w:rPr>
              <w:t>Source: Christoph Rutschmann, Energie-bois Suisse</w:t>
            </w:r>
          </w:p>
        </w:tc>
      </w:tr>
      <w:tr w:rsidR="00C35C28" w:rsidRPr="0029636D" w14:paraId="26AC2172" w14:textId="77777777" w:rsidTr="00C35C28">
        <w:tc>
          <w:tcPr>
            <w:tcW w:w="2122" w:type="dxa"/>
          </w:tcPr>
          <w:p w14:paraId="3F0943E1" w14:textId="03B5FA12" w:rsidR="00C35C28" w:rsidRPr="008C0CFB" w:rsidRDefault="00C35C28" w:rsidP="004C2312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74729ED" wp14:editId="2EEB168A">
                  <wp:extent cx="1562100" cy="1005121"/>
                  <wp:effectExtent l="0" t="0" r="0" b="5080"/>
                  <wp:docPr id="9977348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3482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430" cy="1012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617DEEA5" w14:textId="1DF86E97" w:rsidR="00C35C28" w:rsidRPr="0029636D" w:rsidRDefault="009C0C0B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29636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C35C28" w:rsidRPr="0029636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C35C28" w:rsidRPr="0029636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7391CF7" w14:textId="77777777" w:rsidR="00C35C28" w:rsidRPr="0029636D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518EE39" w14:textId="72A63923" w:rsidR="00C35C28" w:rsidRPr="006C63EB" w:rsidRDefault="006C63EB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6C63EB">
              <w:rPr>
                <w:rFonts w:ascii="Arial" w:hAnsi="Arial" w:cs="Arial"/>
                <w:i/>
                <w:sz w:val="20"/>
                <w:lang w:val="fr-CH"/>
              </w:rPr>
              <w:t xml:space="preserve">Le monitoring bois-énergie en Suisse révèle </w:t>
            </w:r>
            <w:r w:rsidR="00190AF1">
              <w:rPr>
                <w:rFonts w:ascii="Arial" w:hAnsi="Arial" w:cs="Arial"/>
                <w:i/>
                <w:sz w:val="20"/>
                <w:lang w:val="fr-CH"/>
              </w:rPr>
              <w:t>un</w:t>
            </w:r>
            <w:r w:rsidRPr="006C63EB">
              <w:rPr>
                <w:rFonts w:ascii="Arial" w:hAnsi="Arial" w:cs="Arial"/>
                <w:i/>
                <w:sz w:val="20"/>
                <w:lang w:val="fr-CH"/>
              </w:rPr>
              <w:t xml:space="preserve"> approvisionnement </w:t>
            </w:r>
            <w:r w:rsidR="00190AF1">
              <w:rPr>
                <w:rFonts w:ascii="Arial" w:hAnsi="Arial" w:cs="Arial"/>
                <w:i/>
                <w:sz w:val="20"/>
                <w:lang w:val="fr-CH"/>
              </w:rPr>
              <w:t>assuré</w:t>
            </w:r>
            <w:r w:rsidRPr="006C63E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en tout temps</w:t>
            </w:r>
          </w:p>
          <w:p w14:paraId="4877C6EA" w14:textId="77777777" w:rsidR="00C35C28" w:rsidRPr="006C63EB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616E06A" w14:textId="0AA4E922" w:rsidR="00C35C28" w:rsidRPr="009C0C0B" w:rsidRDefault="009C0C0B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542A44">
              <w:rPr>
                <w:rFonts w:ascii="Arial" w:hAnsi="Arial" w:cs="Arial"/>
                <w:i/>
                <w:sz w:val="20"/>
                <w:lang w:val="fr-CH"/>
              </w:rPr>
              <w:t>Source: Christoph Rutschmann, Energie-bois Suisse</w:t>
            </w:r>
          </w:p>
        </w:tc>
      </w:tr>
    </w:tbl>
    <w:p w14:paraId="1FFA91AB" w14:textId="01275681" w:rsidR="00C119D5" w:rsidRPr="009C0C0B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024C00CE" w14:textId="2DB3E630" w:rsidR="00225C0E" w:rsidRPr="009C0C0B" w:rsidRDefault="00225C0E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225C0E" w:rsidRPr="009C0C0B" w:rsidSect="00F460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9EF0" w14:textId="77777777" w:rsidR="00F46069" w:rsidRDefault="00F46069" w:rsidP="006F21B2">
      <w:pPr>
        <w:spacing w:after="0" w:line="240" w:lineRule="auto"/>
      </w:pPr>
      <w:r>
        <w:separator/>
      </w:r>
    </w:p>
  </w:endnote>
  <w:endnote w:type="continuationSeparator" w:id="0">
    <w:p w14:paraId="5EE2AEAE" w14:textId="77777777" w:rsidR="00F46069" w:rsidRDefault="00F46069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4830" w14:textId="77777777" w:rsidR="00F46069" w:rsidRDefault="00F46069" w:rsidP="006F21B2">
      <w:pPr>
        <w:spacing w:after="0" w:line="240" w:lineRule="auto"/>
      </w:pPr>
      <w:r>
        <w:separator/>
      </w:r>
    </w:p>
  </w:footnote>
  <w:footnote w:type="continuationSeparator" w:id="0">
    <w:p w14:paraId="0C42357C" w14:textId="77777777" w:rsidR="00F46069" w:rsidRDefault="00F46069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119"/>
    <w:rsid w:val="00005E20"/>
    <w:rsid w:val="00007F46"/>
    <w:rsid w:val="00010B24"/>
    <w:rsid w:val="00013E4F"/>
    <w:rsid w:val="000142AF"/>
    <w:rsid w:val="00016707"/>
    <w:rsid w:val="00021991"/>
    <w:rsid w:val="00021F94"/>
    <w:rsid w:val="0002408E"/>
    <w:rsid w:val="0002616D"/>
    <w:rsid w:val="000372D5"/>
    <w:rsid w:val="00037D09"/>
    <w:rsid w:val="00043AD1"/>
    <w:rsid w:val="00051E2A"/>
    <w:rsid w:val="00053B3F"/>
    <w:rsid w:val="000602F9"/>
    <w:rsid w:val="00063D1A"/>
    <w:rsid w:val="000664F4"/>
    <w:rsid w:val="0007368B"/>
    <w:rsid w:val="0007412D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924"/>
    <w:rsid w:val="000B54C4"/>
    <w:rsid w:val="000B5C51"/>
    <w:rsid w:val="000C133B"/>
    <w:rsid w:val="000C61A8"/>
    <w:rsid w:val="000C757D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1E99"/>
    <w:rsid w:val="000F3FFD"/>
    <w:rsid w:val="000F7D28"/>
    <w:rsid w:val="001030E2"/>
    <w:rsid w:val="00103AE7"/>
    <w:rsid w:val="001049EE"/>
    <w:rsid w:val="00117463"/>
    <w:rsid w:val="00120A7D"/>
    <w:rsid w:val="00120D63"/>
    <w:rsid w:val="00125B52"/>
    <w:rsid w:val="00126B03"/>
    <w:rsid w:val="00135FB3"/>
    <w:rsid w:val="00141D16"/>
    <w:rsid w:val="00151971"/>
    <w:rsid w:val="0015233D"/>
    <w:rsid w:val="001537E7"/>
    <w:rsid w:val="001566B4"/>
    <w:rsid w:val="00157E99"/>
    <w:rsid w:val="00161DAE"/>
    <w:rsid w:val="001653F8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0AF1"/>
    <w:rsid w:val="001922FE"/>
    <w:rsid w:val="001940F9"/>
    <w:rsid w:val="00195512"/>
    <w:rsid w:val="00197A52"/>
    <w:rsid w:val="001A0FEC"/>
    <w:rsid w:val="001A11B4"/>
    <w:rsid w:val="001A20A0"/>
    <w:rsid w:val="001A3916"/>
    <w:rsid w:val="001A415E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5C0E"/>
    <w:rsid w:val="002365D2"/>
    <w:rsid w:val="002433B9"/>
    <w:rsid w:val="00250A6D"/>
    <w:rsid w:val="00254A13"/>
    <w:rsid w:val="002555E9"/>
    <w:rsid w:val="0027620A"/>
    <w:rsid w:val="00276653"/>
    <w:rsid w:val="002820B8"/>
    <w:rsid w:val="00283AD5"/>
    <w:rsid w:val="0028445D"/>
    <w:rsid w:val="00292C78"/>
    <w:rsid w:val="002936A3"/>
    <w:rsid w:val="00293F39"/>
    <w:rsid w:val="0029636D"/>
    <w:rsid w:val="002A0852"/>
    <w:rsid w:val="002A0864"/>
    <w:rsid w:val="002A2D57"/>
    <w:rsid w:val="002A30E2"/>
    <w:rsid w:val="002A5496"/>
    <w:rsid w:val="002A6B02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4ED3"/>
    <w:rsid w:val="002E5E90"/>
    <w:rsid w:val="002E66DC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24C2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20F0"/>
    <w:rsid w:val="00365183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E6E43"/>
    <w:rsid w:val="003F1B92"/>
    <w:rsid w:val="003F26B1"/>
    <w:rsid w:val="003F2E42"/>
    <w:rsid w:val="003F45E3"/>
    <w:rsid w:val="003F6A25"/>
    <w:rsid w:val="003F78EE"/>
    <w:rsid w:val="0040094E"/>
    <w:rsid w:val="00400EA6"/>
    <w:rsid w:val="00405242"/>
    <w:rsid w:val="00407274"/>
    <w:rsid w:val="00414C31"/>
    <w:rsid w:val="004159F2"/>
    <w:rsid w:val="0041616F"/>
    <w:rsid w:val="004211B1"/>
    <w:rsid w:val="00422C3B"/>
    <w:rsid w:val="004255FE"/>
    <w:rsid w:val="004279E6"/>
    <w:rsid w:val="004308B2"/>
    <w:rsid w:val="00431E05"/>
    <w:rsid w:val="00432179"/>
    <w:rsid w:val="0043315F"/>
    <w:rsid w:val="00433608"/>
    <w:rsid w:val="004347EE"/>
    <w:rsid w:val="00442798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3D38"/>
    <w:rsid w:val="004643A7"/>
    <w:rsid w:val="00483E57"/>
    <w:rsid w:val="004851EA"/>
    <w:rsid w:val="004870F5"/>
    <w:rsid w:val="00490E52"/>
    <w:rsid w:val="00490F06"/>
    <w:rsid w:val="00492D7A"/>
    <w:rsid w:val="00494941"/>
    <w:rsid w:val="004A2E7B"/>
    <w:rsid w:val="004A35BB"/>
    <w:rsid w:val="004A35E6"/>
    <w:rsid w:val="004A36EB"/>
    <w:rsid w:val="004A3ED5"/>
    <w:rsid w:val="004A4272"/>
    <w:rsid w:val="004A52E8"/>
    <w:rsid w:val="004B2C88"/>
    <w:rsid w:val="004B7299"/>
    <w:rsid w:val="004C0826"/>
    <w:rsid w:val="004C1924"/>
    <w:rsid w:val="004C590C"/>
    <w:rsid w:val="004C6A63"/>
    <w:rsid w:val="004D047B"/>
    <w:rsid w:val="004D061D"/>
    <w:rsid w:val="004D11CA"/>
    <w:rsid w:val="004D16E9"/>
    <w:rsid w:val="004D4A6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33159"/>
    <w:rsid w:val="00540F33"/>
    <w:rsid w:val="0054122B"/>
    <w:rsid w:val="005428F3"/>
    <w:rsid w:val="005466D3"/>
    <w:rsid w:val="00551334"/>
    <w:rsid w:val="0055395E"/>
    <w:rsid w:val="00555396"/>
    <w:rsid w:val="0055660C"/>
    <w:rsid w:val="005618CE"/>
    <w:rsid w:val="00562605"/>
    <w:rsid w:val="00565FA4"/>
    <w:rsid w:val="00571DA7"/>
    <w:rsid w:val="0057470C"/>
    <w:rsid w:val="00574D68"/>
    <w:rsid w:val="00576E77"/>
    <w:rsid w:val="0057703E"/>
    <w:rsid w:val="00577B91"/>
    <w:rsid w:val="0058123E"/>
    <w:rsid w:val="005831E2"/>
    <w:rsid w:val="00584683"/>
    <w:rsid w:val="005847CE"/>
    <w:rsid w:val="005858CA"/>
    <w:rsid w:val="00585F8E"/>
    <w:rsid w:val="00586933"/>
    <w:rsid w:val="0059507F"/>
    <w:rsid w:val="00597EFD"/>
    <w:rsid w:val="005A2E26"/>
    <w:rsid w:val="005A4CCB"/>
    <w:rsid w:val="005A6D54"/>
    <w:rsid w:val="005B10CE"/>
    <w:rsid w:val="005B4A7C"/>
    <w:rsid w:val="005C0D40"/>
    <w:rsid w:val="005C1B86"/>
    <w:rsid w:val="005D2E86"/>
    <w:rsid w:val="005D486F"/>
    <w:rsid w:val="005D6790"/>
    <w:rsid w:val="005D7959"/>
    <w:rsid w:val="005E5134"/>
    <w:rsid w:val="005E713D"/>
    <w:rsid w:val="005E7E1D"/>
    <w:rsid w:val="005F1BA1"/>
    <w:rsid w:val="005F3182"/>
    <w:rsid w:val="005F505A"/>
    <w:rsid w:val="00600150"/>
    <w:rsid w:val="00602908"/>
    <w:rsid w:val="006045F9"/>
    <w:rsid w:val="00605C66"/>
    <w:rsid w:val="00606C86"/>
    <w:rsid w:val="006077CC"/>
    <w:rsid w:val="006103E0"/>
    <w:rsid w:val="0061076F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12D7"/>
    <w:rsid w:val="006323DC"/>
    <w:rsid w:val="00632C24"/>
    <w:rsid w:val="00635024"/>
    <w:rsid w:val="00641B97"/>
    <w:rsid w:val="00642CE1"/>
    <w:rsid w:val="006439AB"/>
    <w:rsid w:val="0064545F"/>
    <w:rsid w:val="00653012"/>
    <w:rsid w:val="00653B98"/>
    <w:rsid w:val="00654CE6"/>
    <w:rsid w:val="00656E86"/>
    <w:rsid w:val="006572CE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537A"/>
    <w:rsid w:val="006A631E"/>
    <w:rsid w:val="006A6D07"/>
    <w:rsid w:val="006B16F0"/>
    <w:rsid w:val="006C081B"/>
    <w:rsid w:val="006C19A8"/>
    <w:rsid w:val="006C3352"/>
    <w:rsid w:val="006C6028"/>
    <w:rsid w:val="006C63EB"/>
    <w:rsid w:val="006D0503"/>
    <w:rsid w:val="006D0B5A"/>
    <w:rsid w:val="006D2490"/>
    <w:rsid w:val="006D5B27"/>
    <w:rsid w:val="006E7549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063EF"/>
    <w:rsid w:val="0071142D"/>
    <w:rsid w:val="007139DE"/>
    <w:rsid w:val="0071747D"/>
    <w:rsid w:val="0072305A"/>
    <w:rsid w:val="00730536"/>
    <w:rsid w:val="00731C26"/>
    <w:rsid w:val="007328F6"/>
    <w:rsid w:val="00733ACA"/>
    <w:rsid w:val="007410FB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347"/>
    <w:rsid w:val="00770EEA"/>
    <w:rsid w:val="007747C0"/>
    <w:rsid w:val="0077608B"/>
    <w:rsid w:val="00776D77"/>
    <w:rsid w:val="00777094"/>
    <w:rsid w:val="00783F65"/>
    <w:rsid w:val="007855EC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6BE4"/>
    <w:rsid w:val="007D0031"/>
    <w:rsid w:val="007D04F9"/>
    <w:rsid w:val="007E1557"/>
    <w:rsid w:val="007F149F"/>
    <w:rsid w:val="007F4401"/>
    <w:rsid w:val="007F50DD"/>
    <w:rsid w:val="007F5868"/>
    <w:rsid w:val="007F59EF"/>
    <w:rsid w:val="007F5B6C"/>
    <w:rsid w:val="007F6488"/>
    <w:rsid w:val="008024C8"/>
    <w:rsid w:val="008064D0"/>
    <w:rsid w:val="00807459"/>
    <w:rsid w:val="00820662"/>
    <w:rsid w:val="008216C9"/>
    <w:rsid w:val="0082356C"/>
    <w:rsid w:val="008243FF"/>
    <w:rsid w:val="008334CC"/>
    <w:rsid w:val="00833DB0"/>
    <w:rsid w:val="0083475F"/>
    <w:rsid w:val="00842962"/>
    <w:rsid w:val="008438B2"/>
    <w:rsid w:val="0085599B"/>
    <w:rsid w:val="00856478"/>
    <w:rsid w:val="008572E9"/>
    <w:rsid w:val="00861D12"/>
    <w:rsid w:val="00865BCE"/>
    <w:rsid w:val="00866867"/>
    <w:rsid w:val="00871CBA"/>
    <w:rsid w:val="00872EF9"/>
    <w:rsid w:val="0087633D"/>
    <w:rsid w:val="00882101"/>
    <w:rsid w:val="0088486B"/>
    <w:rsid w:val="00887EAD"/>
    <w:rsid w:val="00891181"/>
    <w:rsid w:val="00893BF8"/>
    <w:rsid w:val="008A26AB"/>
    <w:rsid w:val="008A2FBC"/>
    <w:rsid w:val="008A4087"/>
    <w:rsid w:val="008A7D1F"/>
    <w:rsid w:val="008B01DC"/>
    <w:rsid w:val="008B0EB0"/>
    <w:rsid w:val="008B6D24"/>
    <w:rsid w:val="008B7154"/>
    <w:rsid w:val="008C0CFB"/>
    <w:rsid w:val="008C0EF4"/>
    <w:rsid w:val="008C2D59"/>
    <w:rsid w:val="008C7FB4"/>
    <w:rsid w:val="008D06C3"/>
    <w:rsid w:val="008D0F0C"/>
    <w:rsid w:val="008D3720"/>
    <w:rsid w:val="008D4630"/>
    <w:rsid w:val="008E0094"/>
    <w:rsid w:val="008E294D"/>
    <w:rsid w:val="008E557F"/>
    <w:rsid w:val="008E689A"/>
    <w:rsid w:val="008F54E7"/>
    <w:rsid w:val="008F6BF8"/>
    <w:rsid w:val="00912DD0"/>
    <w:rsid w:val="00913900"/>
    <w:rsid w:val="0091454C"/>
    <w:rsid w:val="00914C02"/>
    <w:rsid w:val="00915CCB"/>
    <w:rsid w:val="00921C6B"/>
    <w:rsid w:val="009226F4"/>
    <w:rsid w:val="00924955"/>
    <w:rsid w:val="00925D45"/>
    <w:rsid w:val="00926D8D"/>
    <w:rsid w:val="009300CC"/>
    <w:rsid w:val="00932729"/>
    <w:rsid w:val="00933AF2"/>
    <w:rsid w:val="00942D2A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6DB9"/>
    <w:rsid w:val="009678A4"/>
    <w:rsid w:val="00970D73"/>
    <w:rsid w:val="00971EEF"/>
    <w:rsid w:val="00977CD4"/>
    <w:rsid w:val="00980D97"/>
    <w:rsid w:val="009813BA"/>
    <w:rsid w:val="00983C5B"/>
    <w:rsid w:val="0098418F"/>
    <w:rsid w:val="00991127"/>
    <w:rsid w:val="00991F0A"/>
    <w:rsid w:val="00993AC8"/>
    <w:rsid w:val="009A0C38"/>
    <w:rsid w:val="009A3DB1"/>
    <w:rsid w:val="009A6166"/>
    <w:rsid w:val="009B0293"/>
    <w:rsid w:val="009B1FA7"/>
    <w:rsid w:val="009B25D3"/>
    <w:rsid w:val="009B74A3"/>
    <w:rsid w:val="009C020F"/>
    <w:rsid w:val="009C0C0B"/>
    <w:rsid w:val="009D1AF4"/>
    <w:rsid w:val="009D322A"/>
    <w:rsid w:val="009D4102"/>
    <w:rsid w:val="009E06BE"/>
    <w:rsid w:val="009E5324"/>
    <w:rsid w:val="009F0371"/>
    <w:rsid w:val="009F3AD1"/>
    <w:rsid w:val="009F58A6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354A"/>
    <w:rsid w:val="00A34E48"/>
    <w:rsid w:val="00A357FA"/>
    <w:rsid w:val="00A36598"/>
    <w:rsid w:val="00A42A25"/>
    <w:rsid w:val="00A44069"/>
    <w:rsid w:val="00A5200C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60F4"/>
    <w:rsid w:val="00A87BF7"/>
    <w:rsid w:val="00A904F1"/>
    <w:rsid w:val="00A90FD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3EF9"/>
    <w:rsid w:val="00B0489F"/>
    <w:rsid w:val="00B06108"/>
    <w:rsid w:val="00B1313A"/>
    <w:rsid w:val="00B263E2"/>
    <w:rsid w:val="00B26536"/>
    <w:rsid w:val="00B3418D"/>
    <w:rsid w:val="00B40329"/>
    <w:rsid w:val="00B40AB9"/>
    <w:rsid w:val="00B428F6"/>
    <w:rsid w:val="00B43174"/>
    <w:rsid w:val="00B43C42"/>
    <w:rsid w:val="00B45D62"/>
    <w:rsid w:val="00B5172B"/>
    <w:rsid w:val="00B51FC9"/>
    <w:rsid w:val="00B536D8"/>
    <w:rsid w:val="00B5534A"/>
    <w:rsid w:val="00B56120"/>
    <w:rsid w:val="00B57416"/>
    <w:rsid w:val="00B60567"/>
    <w:rsid w:val="00B60C21"/>
    <w:rsid w:val="00B623C4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25D9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E50EB"/>
    <w:rsid w:val="00BF428D"/>
    <w:rsid w:val="00BF6948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5C28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FEF"/>
    <w:rsid w:val="00C847B0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3912"/>
    <w:rsid w:val="00CA409D"/>
    <w:rsid w:val="00CB20D4"/>
    <w:rsid w:val="00CC0B73"/>
    <w:rsid w:val="00CC0E91"/>
    <w:rsid w:val="00CC1FEA"/>
    <w:rsid w:val="00CC7F30"/>
    <w:rsid w:val="00CD101A"/>
    <w:rsid w:val="00CD1B0B"/>
    <w:rsid w:val="00CD2A4B"/>
    <w:rsid w:val="00CD3632"/>
    <w:rsid w:val="00CD6EAE"/>
    <w:rsid w:val="00CD7BE9"/>
    <w:rsid w:val="00CE74CB"/>
    <w:rsid w:val="00CF108C"/>
    <w:rsid w:val="00CF26B7"/>
    <w:rsid w:val="00CF3DDD"/>
    <w:rsid w:val="00CF4E82"/>
    <w:rsid w:val="00CF68EF"/>
    <w:rsid w:val="00D00072"/>
    <w:rsid w:val="00D0180E"/>
    <w:rsid w:val="00D01C11"/>
    <w:rsid w:val="00D0306A"/>
    <w:rsid w:val="00D03364"/>
    <w:rsid w:val="00D03A0E"/>
    <w:rsid w:val="00D072AD"/>
    <w:rsid w:val="00D12A66"/>
    <w:rsid w:val="00D23F72"/>
    <w:rsid w:val="00D24B19"/>
    <w:rsid w:val="00D26AE0"/>
    <w:rsid w:val="00D27923"/>
    <w:rsid w:val="00D302B0"/>
    <w:rsid w:val="00D34A9C"/>
    <w:rsid w:val="00D35964"/>
    <w:rsid w:val="00D3749E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2621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12331"/>
    <w:rsid w:val="00E129E1"/>
    <w:rsid w:val="00E21A4E"/>
    <w:rsid w:val="00E22FDA"/>
    <w:rsid w:val="00E243CE"/>
    <w:rsid w:val="00E26889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5A19"/>
    <w:rsid w:val="00E5721E"/>
    <w:rsid w:val="00E57488"/>
    <w:rsid w:val="00E60BE6"/>
    <w:rsid w:val="00E60F7F"/>
    <w:rsid w:val="00E63A03"/>
    <w:rsid w:val="00E63E7C"/>
    <w:rsid w:val="00E77A99"/>
    <w:rsid w:val="00E842F3"/>
    <w:rsid w:val="00E845ED"/>
    <w:rsid w:val="00E84793"/>
    <w:rsid w:val="00E8530E"/>
    <w:rsid w:val="00E9091D"/>
    <w:rsid w:val="00E927A1"/>
    <w:rsid w:val="00E93572"/>
    <w:rsid w:val="00E93638"/>
    <w:rsid w:val="00E94733"/>
    <w:rsid w:val="00E94AD2"/>
    <w:rsid w:val="00E94BAB"/>
    <w:rsid w:val="00E95853"/>
    <w:rsid w:val="00EA0D4E"/>
    <w:rsid w:val="00EB21FF"/>
    <w:rsid w:val="00EB3AF2"/>
    <w:rsid w:val="00EB4772"/>
    <w:rsid w:val="00EB55E3"/>
    <w:rsid w:val="00EB7090"/>
    <w:rsid w:val="00EC0C6F"/>
    <w:rsid w:val="00EC1B97"/>
    <w:rsid w:val="00ED5181"/>
    <w:rsid w:val="00ED5A35"/>
    <w:rsid w:val="00ED6789"/>
    <w:rsid w:val="00ED67F2"/>
    <w:rsid w:val="00ED6E8C"/>
    <w:rsid w:val="00ED6F8A"/>
    <w:rsid w:val="00EE76CA"/>
    <w:rsid w:val="00EF580A"/>
    <w:rsid w:val="00F0065E"/>
    <w:rsid w:val="00F01275"/>
    <w:rsid w:val="00F0372B"/>
    <w:rsid w:val="00F04BFB"/>
    <w:rsid w:val="00F04C37"/>
    <w:rsid w:val="00F15014"/>
    <w:rsid w:val="00F1645E"/>
    <w:rsid w:val="00F277DC"/>
    <w:rsid w:val="00F30EDC"/>
    <w:rsid w:val="00F341B7"/>
    <w:rsid w:val="00F44EF7"/>
    <w:rsid w:val="00F46069"/>
    <w:rsid w:val="00F4650A"/>
    <w:rsid w:val="00F516F3"/>
    <w:rsid w:val="00F52309"/>
    <w:rsid w:val="00F5295C"/>
    <w:rsid w:val="00F56004"/>
    <w:rsid w:val="00F56FC4"/>
    <w:rsid w:val="00F57897"/>
    <w:rsid w:val="00F57C2A"/>
    <w:rsid w:val="00F65BAC"/>
    <w:rsid w:val="00F71CCC"/>
    <w:rsid w:val="00F7307E"/>
    <w:rsid w:val="00F76E81"/>
    <w:rsid w:val="00F777DA"/>
    <w:rsid w:val="00F80072"/>
    <w:rsid w:val="00F8242D"/>
    <w:rsid w:val="00F845C1"/>
    <w:rsid w:val="00F92E34"/>
    <w:rsid w:val="00F93FC8"/>
    <w:rsid w:val="00F945FA"/>
    <w:rsid w:val="00FA6557"/>
    <w:rsid w:val="00FA65AD"/>
    <w:rsid w:val="00FA6864"/>
    <w:rsid w:val="00FA7741"/>
    <w:rsid w:val="00FB06AB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7F00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Andreas Keel</cp:lastModifiedBy>
  <cp:revision>3</cp:revision>
  <cp:lastPrinted>2024-02-29T16:12:00Z</cp:lastPrinted>
  <dcterms:created xsi:type="dcterms:W3CDTF">2024-03-05T08:58:00Z</dcterms:created>
  <dcterms:modified xsi:type="dcterms:W3CDTF">2024-03-05T08:59:00Z</dcterms:modified>
</cp:coreProperties>
</file>